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63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ind w:left="22"/>
        <w:spacing w:before="101" w:line="230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6"/>
        </w:rPr>
        <w:t>附件</w:t>
      </w:r>
    </w:p>
    <w:p>
      <w:pPr>
        <w:spacing w:line="331" w:lineRule="auto"/>
        <w:rPr>
          <w:rFonts w:ascii="Arial"/>
          <w:sz w:val="21"/>
        </w:rPr>
      </w:pPr>
      <w:r/>
    </w:p>
    <w:p>
      <w:pPr>
        <w:spacing w:line="332" w:lineRule="auto"/>
        <w:rPr>
          <w:rFonts w:ascii="Arial"/>
          <w:sz w:val="21"/>
        </w:rPr>
      </w:pPr>
      <w:r/>
    </w:p>
    <w:p>
      <w:pPr>
        <w:ind w:left="2219" w:right="2004" w:hanging="214"/>
        <w:spacing w:before="140" w:line="282" w:lineRule="auto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宁德市知识产权保护中心</w:t>
      </w: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专利预审服务分类号表</w:t>
      </w:r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ind w:left="4" w:firstLine="635"/>
        <w:spacing w:before="100" w:line="334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3"/>
        </w:rPr>
        <w:t>2024</w:t>
      </w:r>
      <w:r>
        <w:rPr>
          <w:rFonts w:ascii="Times New Roman" w:hAnsi="Times New Roman" w:eastAsia="Times New Roman" w:cs="Times New Roman"/>
          <w:sz w:val="31"/>
          <w:szCs w:val="31"/>
          <w:spacing w:val="24"/>
          <w:w w:val="10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年，宁德市知识产权保护中心请求</w:t>
      </w:r>
      <w:r>
        <w:rPr>
          <w:rFonts w:ascii="FangSong" w:hAnsi="FangSong" w:eastAsia="FangSong" w:cs="FangSong"/>
          <w:sz w:val="31"/>
          <w:szCs w:val="31"/>
          <w:spacing w:val="12"/>
        </w:rPr>
        <w:t>调整新能源产业领</w:t>
      </w:r>
      <w:r>
        <w:rPr>
          <w:rFonts w:ascii="FangSong" w:hAnsi="FangSong" w:eastAsia="FangSong" w:cs="FangSong"/>
          <w:sz w:val="31"/>
          <w:szCs w:val="31"/>
          <w:spacing w:val="5"/>
        </w:rPr>
        <w:t>域预审服务分类号。经核定，宁德市知识产权保护中心专利预审</w:t>
      </w:r>
      <w:r>
        <w:rPr>
          <w:rFonts w:ascii="FangSong" w:hAnsi="FangSong" w:eastAsia="FangSong" w:cs="FangSong"/>
          <w:sz w:val="31"/>
          <w:szCs w:val="31"/>
          <w:spacing w:val="10"/>
        </w:rPr>
        <w:t>服务分类号确定为：属于新能源产业领域的共</w:t>
      </w:r>
      <w:r>
        <w:rPr>
          <w:rFonts w:ascii="FangSong" w:hAnsi="FangSong" w:eastAsia="FangSong" w:cs="FangSong"/>
          <w:sz w:val="31"/>
          <w:szCs w:val="31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10"/>
        </w:rPr>
        <w:t>58 </w:t>
      </w:r>
      <w:r>
        <w:rPr>
          <w:rFonts w:ascii="FangSong" w:hAnsi="FangSong" w:eastAsia="FangSong" w:cs="FangSong"/>
          <w:sz w:val="31"/>
          <w:szCs w:val="31"/>
          <w:spacing w:val="10"/>
        </w:rPr>
        <w:t>个</w:t>
      </w:r>
      <w:r>
        <w:rPr>
          <w:rFonts w:ascii="FangSong" w:hAnsi="FangSong" w:eastAsia="FangSong" w:cs="FangSong"/>
          <w:sz w:val="31"/>
          <w:szCs w:val="31"/>
          <w:spacing w:val="9"/>
        </w:rPr>
        <w:t>国际专利分</w:t>
      </w:r>
      <w:r>
        <w:rPr>
          <w:rFonts w:ascii="FangSong" w:hAnsi="FangSong" w:eastAsia="FangSong" w:cs="FangSong"/>
          <w:sz w:val="31"/>
          <w:szCs w:val="31"/>
          <w:spacing w:val="7"/>
        </w:rPr>
        <w:t>类（</w:t>
      </w:r>
      <w:r>
        <w:rPr>
          <w:rFonts w:ascii="Times New Roman" w:hAnsi="Times New Roman" w:eastAsia="Times New Roman" w:cs="Times New Roman"/>
          <w:sz w:val="31"/>
          <w:szCs w:val="31"/>
        </w:rPr>
        <w:t>IPC</w:t>
      </w:r>
      <w:r>
        <w:rPr>
          <w:rFonts w:ascii="FangSong" w:hAnsi="FangSong" w:eastAsia="FangSong" w:cs="FangSong"/>
          <w:sz w:val="31"/>
          <w:szCs w:val="31"/>
          <w:spacing w:val="7"/>
        </w:rPr>
        <w:t>）主分类小类和</w:t>
      </w:r>
      <w:r>
        <w:rPr>
          <w:rFonts w:ascii="FangSong" w:hAnsi="FangSong" w:eastAsia="FangSong" w:cs="FangSong"/>
          <w:sz w:val="31"/>
          <w:szCs w:val="31"/>
          <w:spacing w:val="-25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7"/>
        </w:rPr>
        <w:t>10 </w:t>
      </w:r>
      <w:r>
        <w:rPr>
          <w:rFonts w:ascii="FangSong" w:hAnsi="FangSong" w:eastAsia="FangSong" w:cs="FangSong"/>
          <w:sz w:val="31"/>
          <w:szCs w:val="31"/>
          <w:spacing w:val="7"/>
        </w:rPr>
        <w:t>个洛迦诺分类小类。具体如下：</w:t>
      </w:r>
    </w:p>
    <w:p>
      <w:pPr>
        <w:ind w:left="9"/>
        <w:spacing w:line="418" w:lineRule="exact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4"/>
          <w:position w:val="1"/>
        </w:rPr>
        <w:t>一、</w:t>
      </w:r>
      <w:r>
        <w:rPr>
          <w:rFonts w:ascii="Times New Roman" w:hAnsi="Times New Roman" w:eastAsia="Times New Roman" w:cs="Times New Roman"/>
          <w:sz w:val="31"/>
          <w:szCs w:val="31"/>
          <w:position w:val="1"/>
        </w:rPr>
        <w:t>IPC</w:t>
      </w:r>
      <w:r>
        <w:rPr>
          <w:rFonts w:ascii="Times New Roman" w:hAnsi="Times New Roman" w:eastAsia="Times New Roman" w:cs="Times New Roman"/>
          <w:sz w:val="31"/>
          <w:szCs w:val="31"/>
          <w:spacing w:val="25"/>
          <w:position w:val="1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4"/>
          <w:position w:val="1"/>
        </w:rPr>
        <w:t>分类号（共</w:t>
      </w:r>
      <w:r>
        <w:rPr>
          <w:rFonts w:ascii="SimHei" w:hAnsi="SimHei" w:eastAsia="SimHei" w:cs="SimHei"/>
          <w:sz w:val="31"/>
          <w:szCs w:val="31"/>
          <w:spacing w:val="-58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  <w:position w:val="1"/>
        </w:rPr>
        <w:t>58 </w:t>
      </w:r>
      <w:r>
        <w:rPr>
          <w:rFonts w:ascii="SimHei" w:hAnsi="SimHei" w:eastAsia="SimHei" w:cs="SimHei"/>
          <w:sz w:val="31"/>
          <w:szCs w:val="31"/>
          <w:spacing w:val="4"/>
          <w:position w:val="1"/>
        </w:rPr>
        <w:t>个）</w:t>
      </w:r>
    </w:p>
    <w:p>
      <w:pPr>
        <w:ind w:left="9"/>
        <w:spacing w:before="188" w:line="219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position w:val="-4"/>
        </w:rPr>
        <w:drawing>
          <wp:inline distT="0" distB="0" distL="0" distR="0">
            <wp:extent cx="94227" cy="147048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4227" cy="14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iTi" w:hAnsi="KaiTi" w:eastAsia="KaiTi" w:cs="KaiTi"/>
          <w:sz w:val="31"/>
          <w:szCs w:val="31"/>
          <w:spacing w:val="109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6"/>
        </w:rPr>
        <w:t>新能源产业领域</w:t>
      </w:r>
    </w:p>
    <w:p>
      <w:pPr>
        <w:spacing w:line="17" w:lineRule="exact"/>
        <w:rPr/>
      </w:pPr>
      <w:r/>
    </w:p>
    <w:tbl>
      <w:tblPr>
        <w:tblStyle w:val="TableNormal"/>
        <w:tblW w:w="8825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6657"/>
      </w:tblGrid>
      <w:tr>
        <w:trPr>
          <w:trHeight w:val="63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196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36" w:right="107" w:hanging="128"/>
              <w:spacing w:before="39" w:line="224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>
                <w:b/>
                <w:bCs/>
                <w:spacing w:val="-8"/>
              </w:rPr>
              <w:t>（小类）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3103"/>
              <w:spacing w:before="196" w:line="224" w:lineRule="auto"/>
              <w:rPr/>
            </w:pPr>
            <w:r>
              <w:rPr>
                <w:b/>
                <w:bCs/>
                <w:spacing w:val="-12"/>
              </w:rPr>
              <w:t>类名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397" w:lineRule="auto"/>
              <w:rPr>
                <w:rFonts w:ascii="Arial"/>
                <w:sz w:val="21"/>
              </w:rPr>
            </w:pPr>
            <w:r/>
          </w:p>
          <w:p>
            <w:pPr>
              <w:ind w:left="346"/>
              <w:spacing w:before="6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position w:val="1"/>
              </w:rPr>
              <w:t>1</w:t>
            </w:r>
          </w:p>
        </w:tc>
        <w:tc>
          <w:tcPr>
            <w:tcW w:w="1406" w:type="dxa"/>
            <w:vAlign w:val="top"/>
          </w:tcPr>
          <w:p>
            <w:pPr>
              <w:spacing w:line="397" w:lineRule="auto"/>
              <w:rPr>
                <w:rFonts w:ascii="Arial"/>
                <w:sz w:val="21"/>
              </w:rPr>
            </w:pPr>
            <w:r/>
          </w:p>
          <w:p>
            <w:pPr>
              <w:ind w:left="390"/>
              <w:spacing w:before="6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H01M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08" w:right="45" w:firstLine="5"/>
              <w:spacing w:before="4" w:line="238" w:lineRule="auto"/>
              <w:jc w:val="both"/>
              <w:rPr/>
            </w:pPr>
            <w:r>
              <w:rPr>
                <w:spacing w:val="2"/>
              </w:rPr>
              <w:t>用于直接转变化学能为电能的方法或装置，例如电池组〔</w:t>
            </w:r>
            <w:r>
              <w:rPr>
                <w:rFonts w:ascii="Times New Roman" w:hAnsi="Times New Roman" w:eastAsia="Times New Roman" w:cs="Times New Roman"/>
                <w:spacing w:val="2"/>
              </w:rPr>
              <w:t>2</w:t>
            </w:r>
            <w:r>
              <w:rPr>
                <w:spacing w:val="2"/>
              </w:rPr>
              <w:t>〕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（一般电化学的方法或装置入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C25</w:t>
            </w:r>
            <w:r>
              <w:rPr>
                <w:spacing w:val="-1"/>
              </w:rPr>
              <w:t>；用于转变光或</w:t>
            </w:r>
            <w:r>
              <w:rPr>
                <w:spacing w:val="-2"/>
              </w:rPr>
              <w:t>热为电能的</w:t>
            </w:r>
            <w:r>
              <w:rPr>
                <w:spacing w:val="-6"/>
              </w:rPr>
              <w:t>半导体或其他固态器件入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H01L</w:t>
            </w:r>
            <w:r>
              <w:rPr>
                <w:spacing w:val="-6"/>
              </w:rPr>
              <w:t>，例如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H01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L31/00</w:t>
            </w:r>
            <w:r>
              <w:rPr>
                <w:spacing w:val="-7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H01L35/00</w:t>
            </w:r>
            <w:r>
              <w:rPr>
                <w:spacing w:val="-7"/>
              </w:rPr>
              <w:t>，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H01L37/00</w:t>
            </w:r>
            <w:r>
              <w:rPr>
                <w:spacing w:val="-1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</w:t>
            </w:r>
            <w:r>
              <w:rPr>
                <w:spacing w:val="-1"/>
              </w:rPr>
              <w:t>〕</w:t>
            </w:r>
          </w:p>
        </w:tc>
      </w:tr>
      <w:tr>
        <w:trPr>
          <w:trHeight w:val="628" w:hRule="atLeast"/>
        </w:trPr>
        <w:tc>
          <w:tcPr>
            <w:tcW w:w="762" w:type="dxa"/>
            <w:vAlign w:val="top"/>
          </w:tcPr>
          <w:p>
            <w:pPr>
              <w:ind w:left="323"/>
              <w:spacing w:before="157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position w:val="1"/>
              </w:rPr>
              <w:t>2</w:t>
            </w:r>
          </w:p>
        </w:tc>
        <w:tc>
          <w:tcPr>
            <w:tcW w:w="1406" w:type="dxa"/>
            <w:vAlign w:val="top"/>
          </w:tcPr>
          <w:p>
            <w:pPr>
              <w:ind w:left="410"/>
              <w:spacing w:before="157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  <w:position w:val="1"/>
              </w:rPr>
              <w:t>H02K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25" w:right="106" w:firstLine="15"/>
              <w:spacing w:before="1" w:line="237" w:lineRule="auto"/>
              <w:rPr/>
            </w:pPr>
            <w:r>
              <w:rPr>
                <w:spacing w:val="-5"/>
              </w:rPr>
              <w:t>电机（</w:t>
            </w:r>
            <w:r>
              <w:rPr>
                <w:spacing w:val="-40"/>
              </w:rPr>
              <w:t xml:space="preserve"> </w:t>
            </w:r>
            <w:r>
              <w:rPr>
                <w:spacing w:val="-5"/>
              </w:rPr>
              <w:t>电动继电器入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H01H53/00</w:t>
            </w:r>
            <w:r>
              <w:rPr>
                <w:spacing w:val="-5"/>
              </w:rPr>
              <w:t>；直流或交流电力输入变换为</w:t>
            </w:r>
            <w:r>
              <w:rPr>
                <w:spacing w:val="-2"/>
              </w:rPr>
              <w:t>浪涌电力输出入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H02M9/00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628" w:hRule="atLeast"/>
        </w:trPr>
        <w:tc>
          <w:tcPr>
            <w:tcW w:w="762" w:type="dxa"/>
            <w:vAlign w:val="top"/>
          </w:tcPr>
          <w:p>
            <w:pPr>
              <w:ind w:left="328"/>
              <w:spacing w:before="158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position w:val="1"/>
              </w:rPr>
              <w:t>3</w:t>
            </w:r>
          </w:p>
        </w:tc>
        <w:tc>
          <w:tcPr>
            <w:tcW w:w="1406" w:type="dxa"/>
            <w:vAlign w:val="top"/>
          </w:tcPr>
          <w:p>
            <w:pPr>
              <w:ind w:left="421"/>
              <w:spacing w:before="158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2"/>
              </w:rPr>
              <w:t>G01R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08" w:right="106" w:firstLine="12"/>
              <w:spacing w:before="38" w:line="223" w:lineRule="auto"/>
              <w:rPr/>
            </w:pPr>
            <w:r>
              <w:rPr>
                <w:spacing w:val="12"/>
              </w:rPr>
              <w:t>测量</w:t>
            </w:r>
            <w:r>
              <w:rPr>
                <w:spacing w:val="-48"/>
              </w:rPr>
              <w:t xml:space="preserve"> </w:t>
            </w:r>
            <w:r>
              <w:rPr>
                <w:spacing w:val="12"/>
              </w:rPr>
              <w:t>电变量</w:t>
            </w:r>
            <w:r>
              <w:rPr>
                <w:spacing w:val="-66"/>
              </w:rPr>
              <w:t xml:space="preserve"> </w:t>
            </w:r>
            <w:r>
              <w:rPr>
                <w:spacing w:val="12"/>
              </w:rPr>
              <w:t>；</w:t>
            </w:r>
            <w:r>
              <w:rPr>
                <w:spacing w:val="-64"/>
              </w:rPr>
              <w:t xml:space="preserve"> </w:t>
            </w:r>
            <w:r>
              <w:rPr>
                <w:spacing w:val="12"/>
              </w:rPr>
              <w:t>测量磁变量（</w:t>
            </w:r>
            <w:r>
              <w:rPr>
                <w:spacing w:val="12"/>
              </w:rPr>
              <w:t xml:space="preserve"> </w:t>
            </w:r>
            <w:r>
              <w:rPr>
                <w:spacing w:val="12"/>
              </w:rPr>
              <w:t>指示谐振电路</w:t>
            </w:r>
            <w:r>
              <w:rPr>
                <w:spacing w:val="-59"/>
              </w:rPr>
              <w:t xml:space="preserve"> </w:t>
            </w:r>
            <w:r>
              <w:rPr>
                <w:spacing w:val="12"/>
              </w:rPr>
              <w:t>的正确调谐入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H03J3/12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628" w:hRule="atLeast"/>
        </w:trPr>
        <w:tc>
          <w:tcPr>
            <w:tcW w:w="762" w:type="dxa"/>
            <w:vAlign w:val="top"/>
          </w:tcPr>
          <w:p>
            <w:pPr>
              <w:ind w:left="322"/>
              <w:spacing w:before="161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position w:val="1"/>
              </w:rPr>
              <w:t>4</w:t>
            </w:r>
          </w:p>
        </w:tc>
        <w:tc>
          <w:tcPr>
            <w:tcW w:w="1406" w:type="dxa"/>
            <w:vAlign w:val="top"/>
          </w:tcPr>
          <w:p>
            <w:pPr>
              <w:ind w:left="414"/>
              <w:spacing w:before="161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  <w:position w:val="2"/>
              </w:rPr>
              <w:t>G01N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20" w:right="106" w:hanging="11"/>
              <w:spacing w:before="40" w:line="222" w:lineRule="auto"/>
              <w:rPr/>
            </w:pPr>
            <w:r>
              <w:rPr>
                <w:spacing w:val="-2"/>
              </w:rPr>
              <w:t>借助于测定材料的化学或物理性质来测试或分析材料（除免疫</w:t>
            </w:r>
            <w:r>
              <w:rPr>
                <w:spacing w:val="-4"/>
              </w:rPr>
              <w:t>测定法以外包括酶或微生物的测量或试验入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</w:t>
            </w:r>
            <w:r>
              <w:rPr>
                <w:rFonts w:ascii="Times New Roman" w:hAnsi="Times New Roman" w:eastAsia="Times New Roman" w:cs="Times New Roman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12M</w:t>
            </w:r>
            <w:r>
              <w:rPr>
                <w:rFonts w:ascii="Times New Roman" w:hAnsi="Times New Roman" w:eastAsia="Times New Roman" w:cs="Times New Roman"/>
                <w:spacing w:val="-27"/>
              </w:rPr>
              <w:t xml:space="preserve"> </w:t>
            </w:r>
            <w:r>
              <w:rPr>
                <w:spacing w:val="-4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</w:t>
            </w:r>
            <w:r>
              <w:rPr>
                <w:rFonts w:ascii="Times New Roman" w:hAnsi="Times New Roman" w:eastAsia="Times New Roman" w:cs="Times New Roman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12Q</w:t>
            </w:r>
            <w:r>
              <w:rPr>
                <w:spacing w:val="-4"/>
              </w:rPr>
              <w:t>）</w:t>
            </w:r>
          </w:p>
        </w:tc>
      </w:tr>
      <w:tr>
        <w:trPr>
          <w:trHeight w:val="572" w:hRule="atLeast"/>
        </w:trPr>
        <w:tc>
          <w:tcPr>
            <w:tcW w:w="762" w:type="dxa"/>
            <w:vAlign w:val="top"/>
          </w:tcPr>
          <w:p>
            <w:pPr>
              <w:ind w:left="329"/>
              <w:spacing w:before="213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  <w:vAlign w:val="top"/>
          </w:tcPr>
          <w:p>
            <w:pPr>
              <w:ind w:left="450"/>
              <w:spacing w:before="133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2"/>
              </w:rPr>
              <w:t>H02J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08"/>
              <w:spacing w:before="169" w:line="214" w:lineRule="auto"/>
              <w:rPr/>
            </w:pPr>
            <w:r>
              <w:rPr>
                <w:spacing w:val="-1"/>
              </w:rPr>
              <w:t>供电或配电的电路装置或系统；电能存储系统</w:t>
            </w:r>
          </w:p>
        </w:tc>
      </w:tr>
      <w:tr>
        <w:trPr>
          <w:trHeight w:val="1567" w:hRule="atLeast"/>
        </w:trPr>
        <w:tc>
          <w:tcPr>
            <w:tcW w:w="762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ind w:left="328"/>
              <w:spacing w:before="6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position w:val="1"/>
              </w:rPr>
              <w:t>6</w:t>
            </w:r>
          </w:p>
        </w:tc>
        <w:tc>
          <w:tcPr>
            <w:tcW w:w="1406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ind w:left="417"/>
              <w:spacing w:before="6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B01D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11" w:right="106" w:firstLine="3"/>
              <w:spacing w:before="3" w:line="239" w:lineRule="auto"/>
              <w:jc w:val="both"/>
              <w:rPr/>
            </w:pPr>
            <w:r>
              <w:rPr>
                <w:spacing w:val="-3"/>
              </w:rPr>
              <w:t>分离（用湿法从固体中分离固体入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B03B</w:t>
            </w:r>
            <w:r>
              <w:rPr>
                <w:spacing w:val="-3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B03D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-3"/>
              </w:rPr>
              <w:t>，用风力跳汰</w:t>
            </w:r>
            <w:r>
              <w:rPr/>
              <w:t>机或摇床入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B03B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/>
              <w:t>，用其他干法入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B07</w:t>
            </w:r>
            <w:r>
              <w:rPr/>
              <w:t>；固体物料从固体物料</w:t>
            </w:r>
            <w:r>
              <w:rPr>
                <w:spacing w:val="1"/>
              </w:rPr>
              <w:t>或流体中的磁或静电分离，利用高压电场的分离入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B03C</w:t>
            </w:r>
            <w:r>
              <w:rPr>
                <w:spacing w:val="1"/>
              </w:rPr>
              <w:t>；离</w:t>
            </w:r>
            <w:r>
              <w:rPr>
                <w:spacing w:val="-3"/>
              </w:rPr>
              <w:t>心机、涡旋装置入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B04B</w:t>
            </w:r>
            <w:r>
              <w:rPr>
                <w:spacing w:val="-3"/>
              </w:rPr>
              <w:t>；涡旋装置入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B04C</w:t>
            </w:r>
            <w:r>
              <w:rPr>
                <w:spacing w:val="-3"/>
              </w:rPr>
              <w:t>；用</w:t>
            </w:r>
            <w:r>
              <w:rPr>
                <w:spacing w:val="-4"/>
              </w:rPr>
              <w:t>于从含液物料</w:t>
            </w:r>
            <w:r>
              <w:rPr>
                <w:spacing w:val="-1"/>
              </w:rPr>
              <w:t>中挤出液体的压力机本身入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B30B9/02</w:t>
            </w:r>
            <w:r>
              <w:rPr>
                <w:spacing w:val="-1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5</w:t>
            </w:r>
            <w:r>
              <w:rPr>
                <w:spacing w:val="-1"/>
              </w:rPr>
              <w:t>〕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06" w:h="16839"/>
          <w:pgMar w:top="1431" w:right="1475" w:bottom="1596" w:left="1594" w:header="0" w:footer="122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25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6657"/>
      </w:tblGrid>
      <w:tr>
        <w:trPr>
          <w:trHeight w:val="63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197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36" w:right="107" w:hanging="128"/>
              <w:spacing w:before="39" w:line="224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>
                <w:b/>
                <w:bCs/>
                <w:spacing w:val="-8"/>
              </w:rPr>
              <w:t>（小类）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3103"/>
              <w:spacing w:before="197" w:line="224" w:lineRule="auto"/>
              <w:rPr/>
            </w:pPr>
            <w:r>
              <w:rPr>
                <w:b/>
                <w:bCs/>
                <w:spacing w:val="-12"/>
              </w:rPr>
              <w:t>类名</w:t>
            </w:r>
          </w:p>
        </w:tc>
      </w:tr>
      <w:tr>
        <w:trPr>
          <w:trHeight w:val="2812" w:hRule="atLeast"/>
        </w:trPr>
        <w:tc>
          <w:tcPr>
            <w:tcW w:w="762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327"/>
              <w:spacing w:before="69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406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ind w:left="429"/>
              <w:spacing w:before="6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B60L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08" w:right="54" w:firstLine="33"/>
              <w:spacing w:before="40" w:line="236" w:lineRule="auto"/>
              <w:jc w:val="both"/>
              <w:rPr/>
            </w:pPr>
            <w:r>
              <w:rPr>
                <w:spacing w:val="-3"/>
              </w:rPr>
              <w:t>电动车辆动力装置（车辆电动力装置的布置或安装，或具有共</w:t>
            </w:r>
            <w:r>
              <w:rPr>
                <w:spacing w:val="-9"/>
              </w:rPr>
              <w:t>有</w:t>
            </w:r>
            <w:r>
              <w:rPr>
                <w:spacing w:val="-62"/>
              </w:rPr>
              <w:t xml:space="preserve"> </w:t>
            </w:r>
            <w:r>
              <w:rPr>
                <w:spacing w:val="-9"/>
              </w:rPr>
              <w:t>或</w:t>
            </w:r>
            <w:r>
              <w:rPr>
                <w:spacing w:val="-65"/>
              </w:rPr>
              <w:t xml:space="preserve"> </w:t>
            </w:r>
            <w:r>
              <w:rPr>
                <w:spacing w:val="-9"/>
              </w:rPr>
              <w:t>共</w:t>
            </w:r>
            <w:r>
              <w:rPr>
                <w:spacing w:val="-43"/>
              </w:rPr>
              <w:t xml:space="preserve"> </w:t>
            </w:r>
            <w:r>
              <w:rPr>
                <w:spacing w:val="-9"/>
              </w:rPr>
              <w:t>同</w:t>
            </w:r>
            <w:r>
              <w:rPr>
                <w:spacing w:val="-54"/>
              </w:rPr>
              <w:t xml:space="preserve"> </w:t>
            </w:r>
            <w:r>
              <w:rPr>
                <w:spacing w:val="-9"/>
              </w:rPr>
              <w:t>动</w:t>
            </w:r>
            <w:r>
              <w:rPr>
                <w:spacing w:val="-62"/>
              </w:rPr>
              <w:t xml:space="preserve"> </w:t>
            </w:r>
            <w:r>
              <w:rPr>
                <w:spacing w:val="-9"/>
              </w:rPr>
              <w:t>力</w:t>
            </w:r>
            <w:r>
              <w:rPr>
                <w:spacing w:val="-68"/>
              </w:rPr>
              <w:t xml:space="preserve"> </w:t>
            </w:r>
            <w:r>
              <w:rPr>
                <w:spacing w:val="-9"/>
              </w:rPr>
              <w:t>装</w:t>
            </w:r>
            <w:r>
              <w:rPr>
                <w:spacing w:val="-60"/>
              </w:rPr>
              <w:t xml:space="preserve"> </w:t>
            </w:r>
            <w:r>
              <w:rPr>
                <w:spacing w:val="-9"/>
              </w:rPr>
              <w:t>置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的多</w:t>
            </w:r>
            <w:r>
              <w:rPr>
                <w:spacing w:val="-65"/>
              </w:rPr>
              <w:t xml:space="preserve"> </w:t>
            </w:r>
            <w:r>
              <w:rPr>
                <w:spacing w:val="-9"/>
              </w:rPr>
              <w:t>个</w:t>
            </w:r>
            <w:r>
              <w:rPr>
                <w:spacing w:val="-63"/>
              </w:rPr>
              <w:t xml:space="preserve"> </w:t>
            </w:r>
            <w:r>
              <w:rPr>
                <w:spacing w:val="-9"/>
              </w:rPr>
              <w:t>不</w:t>
            </w:r>
            <w:r>
              <w:rPr>
                <w:spacing w:val="-43"/>
              </w:rPr>
              <w:t xml:space="preserve"> </w:t>
            </w:r>
            <w:r>
              <w:rPr>
                <w:spacing w:val="-9"/>
              </w:rPr>
              <w:t>同</w:t>
            </w:r>
            <w:r>
              <w:rPr>
                <w:spacing w:val="-61"/>
              </w:rPr>
              <w:t xml:space="preserve"> </w:t>
            </w:r>
            <w:r>
              <w:rPr>
                <w:spacing w:val="-9"/>
              </w:rPr>
              <w:t>原</w:t>
            </w:r>
            <w:r>
              <w:rPr>
                <w:spacing w:val="-54"/>
              </w:rPr>
              <w:t xml:space="preserve"> </w:t>
            </w:r>
            <w:r>
              <w:rPr>
                <w:spacing w:val="-9"/>
              </w:rPr>
              <w:t>动</w:t>
            </w:r>
            <w:r>
              <w:rPr>
                <w:spacing w:val="-70"/>
              </w:rPr>
              <w:t xml:space="preserve"> </w:t>
            </w:r>
            <w:r>
              <w:rPr>
                <w:spacing w:val="-9"/>
              </w:rPr>
              <w:t>机</w:t>
            </w:r>
            <w:r>
              <w:rPr>
                <w:spacing w:val="-46"/>
              </w:rPr>
              <w:t xml:space="preserve"> </w:t>
            </w:r>
            <w:r>
              <w:rPr>
                <w:spacing w:val="-9"/>
              </w:rPr>
              <w:t>的入</w:t>
            </w:r>
            <w:r>
              <w:rPr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B60K</w:t>
            </w:r>
            <w:r>
              <w:rPr>
                <w:rFonts w:ascii="Times New Roman" w:hAnsi="Times New Roman" w:eastAsia="Times New Roman" w:cs="Times New Roman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1/00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9"/>
              </w:rPr>
              <w:t>，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B60K6/20</w:t>
            </w:r>
            <w:r>
              <w:rPr>
                <w:spacing w:val="4"/>
              </w:rPr>
              <w:t>；车辆电力传动装置的布置</w:t>
            </w:r>
            <w:r>
              <w:rPr>
                <w:spacing w:val="3"/>
              </w:rPr>
              <w:t>或安装入</w:t>
            </w:r>
            <w:r>
              <w:rPr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B60K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17/12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spacing w:val="3"/>
              </w:rPr>
              <w:t>，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B60K</w:t>
            </w:r>
            <w:r>
              <w:rPr>
                <w:rFonts w:ascii="Times New Roman" w:hAnsi="Times New Roman" w:eastAsia="Times New Roman" w:cs="Times New Roman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17/14</w:t>
            </w:r>
            <w:r>
              <w:rPr>
                <w:spacing w:val="-5"/>
              </w:rPr>
              <w:t>；有轨车通过减小功率防止车轮打滑入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B61C</w:t>
            </w:r>
            <w:r>
              <w:rPr>
                <w:rFonts w:ascii="Times New Roman" w:hAnsi="Times New Roman" w:eastAsia="Times New Roman" w:cs="Times New Roman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15/08</w:t>
            </w:r>
            <w:r>
              <w:rPr>
                <w:spacing w:val="-5"/>
              </w:rPr>
              <w:t>；</w:t>
            </w:r>
            <w:r>
              <w:rPr>
                <w:spacing w:val="-2"/>
              </w:rPr>
              <w:t>电动发电机入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H02K</w:t>
            </w:r>
            <w:r>
              <w:rPr>
                <w:spacing w:val="-2"/>
              </w:rPr>
              <w:t>；电动机的控制或调节</w:t>
            </w:r>
            <w:r>
              <w:rPr>
                <w:spacing w:val="-3"/>
              </w:rPr>
              <w:t>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H02P</w:t>
            </w:r>
            <w:r>
              <w:rPr>
                <w:spacing w:val="-21"/>
              </w:rPr>
              <w:t>）；</w:t>
            </w:r>
            <w:r>
              <w:rPr>
                <w:spacing w:val="-3"/>
              </w:rPr>
              <w:t>车辆辅</w:t>
            </w:r>
            <w:r>
              <w:rPr>
                <w:spacing w:val="14"/>
              </w:rPr>
              <w:t>助装备的供电（</w:t>
            </w:r>
            <w:r>
              <w:rPr>
                <w:spacing w:val="-34"/>
              </w:rPr>
              <w:t xml:space="preserve"> </w:t>
            </w:r>
            <w:r>
              <w:rPr>
                <w:spacing w:val="14"/>
              </w:rPr>
              <w:t>与车辆机械耦合装置相连的电耦合设备入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B60D</w:t>
            </w:r>
            <w:r>
              <w:rPr>
                <w:rFonts w:ascii="Times New Roman" w:hAnsi="Times New Roman" w:eastAsia="Times New Roman" w:cs="Times New Roman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1/64</w:t>
            </w:r>
            <w:r>
              <w:rPr>
                <w:spacing w:val="-1"/>
              </w:rPr>
              <w:t>；车辆电加热入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B60H</w:t>
            </w:r>
            <w:r>
              <w:rPr>
                <w:rFonts w:ascii="Times New Roman" w:hAnsi="Times New Roman" w:eastAsia="Times New Roman" w:cs="Times New Roman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1/00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/>
              <w:t>）；</w:t>
            </w:r>
            <w:r>
              <w:rPr>
                <w:spacing w:val="-2"/>
              </w:rPr>
              <w:t>一般车辆的电力制动</w:t>
            </w:r>
            <w:r>
              <w:rPr>
                <w:spacing w:val="-7"/>
              </w:rPr>
              <w:t>系统（</w:t>
            </w:r>
            <w:r>
              <w:rPr>
                <w:spacing w:val="-50"/>
              </w:rPr>
              <w:t xml:space="preserve"> </w:t>
            </w:r>
            <w:r>
              <w:rPr>
                <w:spacing w:val="-7"/>
              </w:rPr>
              <w:t>电动机的控制和调节入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H02P</w:t>
            </w:r>
            <w:r>
              <w:rPr>
                <w:spacing w:val="-2"/>
              </w:rPr>
              <w:t>）；</w:t>
            </w:r>
            <w:r>
              <w:rPr>
                <w:spacing w:val="-7"/>
              </w:rPr>
              <w:t>车辆的磁悬置或悬浮；</w:t>
            </w:r>
            <w:r>
              <w:rPr/>
              <w:t>电动车辆的监控操作变量；电动车辆的电气安</w:t>
            </w:r>
            <w:r>
              <w:rPr>
                <w:spacing w:val="-1"/>
              </w:rPr>
              <w:t>全装置〔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</w:t>
            </w:r>
            <w:r>
              <w:rPr>
                <w:spacing w:val="-1"/>
              </w:rPr>
              <w:t>〕</w:t>
            </w:r>
          </w:p>
        </w:tc>
      </w:tr>
      <w:tr>
        <w:trPr>
          <w:trHeight w:val="572" w:hRule="atLeast"/>
        </w:trPr>
        <w:tc>
          <w:tcPr>
            <w:tcW w:w="762" w:type="dxa"/>
            <w:vAlign w:val="top"/>
          </w:tcPr>
          <w:p>
            <w:pPr>
              <w:ind w:left="333"/>
              <w:spacing w:before="12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position w:val="1"/>
              </w:rPr>
              <w:t>8</w:t>
            </w:r>
          </w:p>
        </w:tc>
        <w:tc>
          <w:tcPr>
            <w:tcW w:w="1406" w:type="dxa"/>
            <w:vAlign w:val="top"/>
          </w:tcPr>
          <w:p>
            <w:pPr>
              <w:ind w:left="436"/>
              <w:spacing w:before="12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B01F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24"/>
              <w:spacing w:before="129" w:line="356" w:lineRule="exact"/>
              <w:rPr/>
            </w:pPr>
            <w:r>
              <w:rPr>
                <w:spacing w:val="-1"/>
                <w:position w:val="2"/>
              </w:rPr>
              <w:t>混合，例如，溶解、乳化、分散（混合颜料入</w:t>
            </w:r>
            <w:r>
              <w:rPr>
                <w:spacing w:val="-55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</w:rPr>
              <w:t>B44D3/06</w:t>
            </w:r>
            <w:r>
              <w:rPr>
                <w:spacing w:val="-1"/>
                <w:position w:val="2"/>
              </w:rPr>
              <w:t>）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ind w:left="328"/>
              <w:spacing w:before="157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position w:val="2"/>
              </w:rPr>
              <w:t>9</w:t>
            </w:r>
          </w:p>
        </w:tc>
        <w:tc>
          <w:tcPr>
            <w:tcW w:w="1406" w:type="dxa"/>
            <w:vAlign w:val="top"/>
          </w:tcPr>
          <w:p>
            <w:pPr>
              <w:ind w:left="421"/>
              <w:spacing w:before="157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  <w:position w:val="2"/>
              </w:rPr>
              <w:t>G01B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17" w:right="54" w:hanging="1"/>
              <w:spacing w:before="36" w:line="224" w:lineRule="auto"/>
              <w:rPr/>
            </w:pPr>
            <w:r>
              <w:rPr>
                <w:spacing w:val="-9"/>
              </w:rPr>
              <w:t>长度、厚度或类似线性尺寸的计量；角度的计量；面积的计量；</w:t>
            </w:r>
            <w:r>
              <w:rPr>
                <w:spacing w:val="-2"/>
              </w:rPr>
              <w:t>不规则的表面或轮廓的计量</w:t>
            </w:r>
          </w:p>
        </w:tc>
      </w:tr>
      <w:tr>
        <w:trPr>
          <w:trHeight w:val="572" w:hRule="atLeast"/>
        </w:trPr>
        <w:tc>
          <w:tcPr>
            <w:tcW w:w="762" w:type="dxa"/>
            <w:vAlign w:val="top"/>
          </w:tcPr>
          <w:p>
            <w:pPr>
              <w:ind w:left="286"/>
              <w:spacing w:before="128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  <w:position w:val="1"/>
              </w:rPr>
              <w:t>10</w:t>
            </w:r>
          </w:p>
        </w:tc>
        <w:tc>
          <w:tcPr>
            <w:tcW w:w="1406" w:type="dxa"/>
            <w:vAlign w:val="top"/>
          </w:tcPr>
          <w:p>
            <w:pPr>
              <w:ind w:left="433"/>
              <w:spacing w:before="128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  <w:position w:val="2"/>
              </w:rPr>
              <w:t>G06F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41"/>
              <w:spacing w:before="128" w:line="357" w:lineRule="exact"/>
              <w:rPr/>
            </w:pPr>
            <w:r>
              <w:rPr>
                <w:spacing w:val="-2"/>
                <w:position w:val="2"/>
              </w:rPr>
              <w:t>电数字数据处理（基于特定计算模型的计算机系统入</w:t>
            </w:r>
            <w:r>
              <w:rPr>
                <w:spacing w:val="-44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G06N</w:t>
            </w:r>
            <w:r>
              <w:rPr>
                <w:spacing w:val="-2"/>
                <w:position w:val="2"/>
              </w:rPr>
              <w:t>）</w:t>
            </w:r>
          </w:p>
        </w:tc>
      </w:tr>
      <w:tr>
        <w:trPr>
          <w:trHeight w:val="572" w:hRule="atLeast"/>
        </w:trPr>
        <w:tc>
          <w:tcPr>
            <w:tcW w:w="762" w:type="dxa"/>
            <w:vAlign w:val="top"/>
          </w:tcPr>
          <w:p>
            <w:pPr>
              <w:ind w:left="286"/>
              <w:spacing w:before="12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  <w:position w:val="1"/>
              </w:rPr>
              <w:t>11</w:t>
            </w:r>
          </w:p>
        </w:tc>
        <w:tc>
          <w:tcPr>
            <w:tcW w:w="1406" w:type="dxa"/>
            <w:vAlign w:val="top"/>
          </w:tcPr>
          <w:p>
            <w:pPr>
              <w:ind w:left="455"/>
              <w:spacing w:before="12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2"/>
              </w:rPr>
              <w:t>B01J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spacing w:before="129" w:line="356" w:lineRule="exact"/>
              <w:jc w:val="right"/>
              <w:rPr/>
            </w:pPr>
            <w:r>
              <w:rPr>
                <w:spacing w:val="-11"/>
                <w:position w:val="2"/>
              </w:rPr>
              <w:t>化学或物理方法，例如，催化作用或胶体化学；其有关设备〔</w:t>
            </w:r>
            <w:r>
              <w:rPr>
                <w:rFonts w:ascii="Times New Roman" w:hAnsi="Times New Roman" w:eastAsia="Times New Roman" w:cs="Times New Roman"/>
                <w:spacing w:val="-11"/>
                <w:position w:val="2"/>
              </w:rPr>
              <w:t>2</w:t>
            </w:r>
            <w:r>
              <w:rPr>
                <w:spacing w:val="-11"/>
                <w:position w:val="2"/>
              </w:rPr>
              <w:t>〕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398" w:lineRule="auto"/>
              <w:rPr>
                <w:rFonts w:ascii="Arial"/>
                <w:sz w:val="21"/>
              </w:rPr>
            </w:pPr>
            <w:r/>
          </w:p>
          <w:p>
            <w:pPr>
              <w:ind w:left="286"/>
              <w:spacing w:before="69" w:line="314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  <w:position w:val="1"/>
              </w:rPr>
              <w:t>12</w:t>
            </w:r>
          </w:p>
        </w:tc>
        <w:tc>
          <w:tcPr>
            <w:tcW w:w="1406" w:type="dxa"/>
            <w:vAlign w:val="top"/>
          </w:tcPr>
          <w:p>
            <w:pPr>
              <w:spacing w:line="398" w:lineRule="auto"/>
              <w:rPr>
                <w:rFonts w:ascii="Arial"/>
                <w:sz w:val="21"/>
              </w:rPr>
            </w:pPr>
            <w:r/>
          </w:p>
          <w:p>
            <w:pPr>
              <w:ind w:left="417"/>
              <w:spacing w:before="69" w:line="314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  <w:position w:val="1"/>
              </w:rPr>
              <w:t>B60K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08" w:right="106" w:firstLine="14"/>
              <w:spacing w:before="35" w:line="232" w:lineRule="auto"/>
              <w:jc w:val="both"/>
              <w:rPr/>
            </w:pPr>
            <w:r>
              <w:rPr>
                <w:spacing w:val="-2"/>
              </w:rPr>
              <w:t>车辆动力装置或传动装置的布置或安装；两个以</w:t>
            </w:r>
            <w:r>
              <w:rPr>
                <w:spacing w:val="-3"/>
              </w:rPr>
              <w:t>上不同的车辆</w:t>
            </w:r>
            <w:r>
              <w:rPr>
                <w:spacing w:val="-2"/>
              </w:rPr>
              <w:t>原动机的布置或安装；车辆辅助驱动装置；车辆用仪表或仪表</w:t>
            </w:r>
            <w:r>
              <w:rPr>
                <w:spacing w:val="-2"/>
              </w:rPr>
              <w:t>板；与车辆动力装置的冷却、进气、排气或燃料供给结合的布</w:t>
            </w:r>
            <w:r>
              <w:rPr>
                <w:spacing w:val="-7"/>
              </w:rPr>
              <w:t>置〔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-7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8</w:t>
            </w:r>
            <w:r>
              <w:rPr>
                <w:spacing w:val="-7"/>
              </w:rPr>
              <w:t>〕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ind w:left="286"/>
              <w:spacing w:before="160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  <w:position w:val="1"/>
              </w:rPr>
              <w:t>13</w:t>
            </w:r>
          </w:p>
        </w:tc>
        <w:tc>
          <w:tcPr>
            <w:tcW w:w="1406" w:type="dxa"/>
            <w:vAlign w:val="top"/>
          </w:tcPr>
          <w:p>
            <w:pPr>
              <w:ind w:left="433"/>
              <w:spacing w:before="160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2"/>
              </w:rPr>
              <w:t>C08L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12" w:firstLine="11"/>
              <w:spacing w:before="5" w:line="236" w:lineRule="auto"/>
              <w:rPr/>
            </w:pPr>
            <w:r>
              <w:rPr>
                <w:spacing w:val="-4"/>
              </w:rPr>
              <w:t>高分子化合物的组合物（基于可聚合单体的组成成分入</w:t>
            </w:r>
            <w:r>
              <w:rPr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C08F</w:t>
            </w:r>
            <w:r>
              <w:rPr>
                <w:rFonts w:ascii="Times New Roman" w:hAnsi="Times New Roman" w:eastAsia="Times New Roman" w:cs="Times New Roman"/>
                <w:spacing w:val="-30"/>
              </w:rPr>
              <w:t xml:space="preserve"> </w:t>
            </w:r>
            <w:r>
              <w:rPr>
                <w:spacing w:val="-4"/>
              </w:rPr>
              <w:t>、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C08G</w:t>
            </w:r>
            <w:r>
              <w:rPr>
                <w:spacing w:val="-1"/>
              </w:rPr>
              <w:t>；人造丝或纤维入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D01F</w:t>
            </w:r>
            <w:r>
              <w:rPr>
                <w:spacing w:val="-1"/>
              </w:rPr>
              <w:t>；织物处</w:t>
            </w:r>
            <w:r>
              <w:rPr>
                <w:spacing w:val="-2"/>
              </w:rPr>
              <w:t>理的配方入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D06</w:t>
            </w:r>
            <w:r>
              <w:rPr>
                <w:spacing w:val="-2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</w:t>
            </w:r>
            <w:r>
              <w:rPr>
                <w:spacing w:val="-2"/>
              </w:rPr>
              <w:t>〕</w:t>
            </w:r>
          </w:p>
        </w:tc>
      </w:tr>
      <w:tr>
        <w:trPr>
          <w:trHeight w:val="572" w:hRule="atLeast"/>
        </w:trPr>
        <w:tc>
          <w:tcPr>
            <w:tcW w:w="762" w:type="dxa"/>
            <w:vAlign w:val="top"/>
          </w:tcPr>
          <w:p>
            <w:pPr>
              <w:ind w:left="286"/>
              <w:spacing w:before="131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  <w:position w:val="1"/>
              </w:rPr>
              <w:t>14</w:t>
            </w:r>
          </w:p>
        </w:tc>
        <w:tc>
          <w:tcPr>
            <w:tcW w:w="1406" w:type="dxa"/>
            <w:vAlign w:val="top"/>
          </w:tcPr>
          <w:p>
            <w:pPr>
              <w:ind w:left="433"/>
              <w:spacing w:before="131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  <w:position w:val="2"/>
              </w:rPr>
              <w:t>G01F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spacing w:before="131" w:line="356" w:lineRule="exact"/>
              <w:jc w:val="right"/>
              <w:rPr/>
            </w:pPr>
            <w:r>
              <w:rPr>
                <w:spacing w:val="-7"/>
                <w:position w:val="2"/>
              </w:rPr>
              <w:t>容积、流量、质量流量或液位的测量；按容积进行测量〔</w:t>
            </w:r>
            <w:r>
              <w:rPr>
                <w:rFonts w:ascii="Times New Roman" w:hAnsi="Times New Roman" w:eastAsia="Times New Roman" w:cs="Times New Roman"/>
                <w:spacing w:val="-7"/>
                <w:position w:val="2"/>
              </w:rPr>
              <w:t>2</w:t>
            </w:r>
            <w:r>
              <w:rPr>
                <w:spacing w:val="-7"/>
                <w:position w:val="2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7"/>
                <w:position w:val="2"/>
              </w:rPr>
              <w:t>5</w:t>
            </w:r>
            <w:r>
              <w:rPr>
                <w:spacing w:val="-7"/>
                <w:position w:val="2"/>
              </w:rPr>
              <w:t>〕</w:t>
            </w:r>
          </w:p>
        </w:tc>
      </w:tr>
      <w:tr>
        <w:trPr>
          <w:trHeight w:val="3435" w:hRule="atLeast"/>
        </w:trPr>
        <w:tc>
          <w:tcPr>
            <w:tcW w:w="762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ind w:left="286"/>
              <w:spacing w:before="69" w:line="314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  <w:position w:val="1"/>
              </w:rPr>
              <w:t>15</w:t>
            </w:r>
          </w:p>
        </w:tc>
        <w:tc>
          <w:tcPr>
            <w:tcW w:w="140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ind w:left="390"/>
              <w:spacing w:before="69" w:line="314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H02M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08" w:right="35" w:firstLine="5"/>
              <w:spacing w:before="35" w:line="237" w:lineRule="auto"/>
              <w:jc w:val="both"/>
              <w:rPr/>
            </w:pPr>
            <w:r>
              <w:rPr>
                <w:spacing w:val="-2"/>
              </w:rPr>
              <w:t>用于交流和交流之间、交流和直流之间、或直流和直流之间的</w:t>
            </w:r>
            <w:r>
              <w:rPr>
                <w:spacing w:val="-2"/>
              </w:rPr>
              <w:t>转换以及用于与电源或类似的供电系统一起使用的设备；直流</w:t>
            </w:r>
            <w:r>
              <w:rPr>
                <w:spacing w:val="-2"/>
              </w:rPr>
              <w:t>或交流输入功率至浪涌输出功率的转换；以及它们的控制或调</w:t>
            </w:r>
            <w:r>
              <w:rPr>
                <w:spacing w:val="-2"/>
              </w:rPr>
              <w:t>节（专用于没有可动部件的电子时钟的电流或者电压的变换入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G04G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19/02</w:t>
            </w:r>
            <w:r>
              <w:rPr>
                <w:spacing w:val="-6"/>
              </w:rPr>
              <w:t>；调节电或磁变量的系统，例如用变压器、电抗器、</w:t>
            </w:r>
            <w:r>
              <w:rPr>
                <w:spacing w:val="2"/>
              </w:rPr>
              <w:t>或扼流圈及这种系统与静止变换器的组合，一般入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G05F</w:t>
            </w:r>
            <w:r>
              <w:rPr>
                <w:spacing w:val="2"/>
              </w:rPr>
              <w:t>；用</w:t>
            </w:r>
            <w:r>
              <w:rPr>
                <w:spacing w:val="-1"/>
              </w:rPr>
              <w:t>于数字计算机的入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G06F</w:t>
            </w:r>
            <w:r>
              <w:rPr>
                <w:rFonts w:ascii="Times New Roman" w:hAnsi="Times New Roman" w:eastAsia="Times New Roman" w:cs="Times New Roman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1/00</w:t>
            </w:r>
            <w:r>
              <w:rPr>
                <w:spacing w:val="-1"/>
              </w:rPr>
              <w:t>；变压器入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H01F</w:t>
            </w:r>
            <w:r>
              <w:rPr>
                <w:spacing w:val="-2"/>
              </w:rPr>
              <w:t>；与类似的或其</w:t>
            </w:r>
            <w:r>
              <w:rPr>
                <w:spacing w:val="3"/>
              </w:rPr>
              <w:t>他供电电源联合运行的一个变换器的连接或控制入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H02J</w:t>
            </w:r>
            <w:r>
              <w:rPr>
                <w:spacing w:val="3"/>
              </w:rPr>
              <w:t>；机</w:t>
            </w:r>
            <w:r>
              <w:rPr>
                <w:spacing w:val="-1"/>
              </w:rPr>
              <w:t>电变换器入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H02K47/00</w:t>
            </w:r>
            <w:r>
              <w:rPr>
                <w:spacing w:val="-1"/>
              </w:rPr>
              <w:t>；控制变压器、</w:t>
            </w:r>
            <w:r>
              <w:rPr>
                <w:spacing w:val="-2"/>
              </w:rPr>
              <w:t>电抗器或扼流圈、电动</w:t>
            </w:r>
            <w:r>
              <w:rPr>
                <w:spacing w:val="2"/>
              </w:rPr>
              <w:t>机、发电机或机电变换器的控制调节入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H02P</w:t>
            </w:r>
            <w:r>
              <w:rPr>
                <w:spacing w:val="2"/>
              </w:rPr>
              <w:t>；脉冲发生器入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H03K</w:t>
            </w:r>
            <w:r>
              <w:rPr>
                <w:spacing w:val="-4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27"/>
              </w:rPr>
              <w:t xml:space="preserve"> </w:t>
            </w:r>
            <w:r>
              <w:rPr>
                <w:spacing w:val="-4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5</w:t>
            </w:r>
            <w:r>
              <w:rPr>
                <w:spacing w:val="-4"/>
              </w:rPr>
              <w:t>〕</w:t>
            </w:r>
          </w:p>
        </w:tc>
      </w:tr>
      <w:tr>
        <w:trPr>
          <w:trHeight w:val="631" w:hRule="atLeast"/>
        </w:trPr>
        <w:tc>
          <w:tcPr>
            <w:tcW w:w="762" w:type="dxa"/>
            <w:vAlign w:val="top"/>
          </w:tcPr>
          <w:p>
            <w:pPr>
              <w:ind w:left="286"/>
              <w:spacing w:before="160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  <w:position w:val="1"/>
              </w:rPr>
              <w:t>16</w:t>
            </w:r>
          </w:p>
        </w:tc>
        <w:tc>
          <w:tcPr>
            <w:tcW w:w="1406" w:type="dxa"/>
            <w:vAlign w:val="top"/>
          </w:tcPr>
          <w:p>
            <w:pPr>
              <w:ind w:left="422"/>
              <w:spacing w:before="160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  <w:position w:val="1"/>
              </w:rPr>
              <w:t>B60R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24" w:right="106" w:hanging="6"/>
              <w:spacing w:before="41" w:line="223" w:lineRule="auto"/>
              <w:rPr/>
            </w:pPr>
            <w:r>
              <w:rPr>
                <w:spacing w:val="-2"/>
              </w:rPr>
              <w:t>不包含在其他类目中的车辆、车辆配件或车辆部件（专门适用</w:t>
            </w:r>
            <w:r>
              <w:rPr>
                <w:spacing w:val="-1"/>
              </w:rPr>
              <w:t>于车辆的防火、抑制或灭火的入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A62C3/07</w:t>
            </w:r>
            <w:r>
              <w:rPr>
                <w:spacing w:val="-1"/>
              </w:rPr>
              <w:t>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"/>
          <w:pgSz w:w="11906" w:h="16839"/>
          <w:pgMar w:top="1431" w:right="1481" w:bottom="1596" w:left="1594" w:header="0" w:footer="122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25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6657"/>
      </w:tblGrid>
      <w:tr>
        <w:trPr>
          <w:trHeight w:val="63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197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36" w:right="107" w:hanging="128"/>
              <w:spacing w:before="39" w:line="224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>
                <w:b/>
                <w:bCs/>
                <w:spacing w:val="-8"/>
              </w:rPr>
              <w:t>（小类）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3103"/>
              <w:spacing w:before="197" w:line="224" w:lineRule="auto"/>
              <w:rPr/>
            </w:pPr>
            <w:r>
              <w:rPr>
                <w:b/>
                <w:bCs/>
                <w:spacing w:val="-12"/>
              </w:rPr>
              <w:t>类名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ind w:left="286"/>
              <w:spacing w:before="157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  <w:position w:val="2"/>
              </w:rPr>
              <w:t>17</w:t>
            </w:r>
          </w:p>
        </w:tc>
        <w:tc>
          <w:tcPr>
            <w:tcW w:w="1406" w:type="dxa"/>
            <w:vAlign w:val="top"/>
          </w:tcPr>
          <w:p>
            <w:pPr>
              <w:ind w:left="426"/>
              <w:spacing w:before="157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  <w:position w:val="2"/>
              </w:rPr>
              <w:t>G01L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19" w:right="106" w:firstLine="1"/>
              <w:spacing w:before="39" w:line="223" w:lineRule="auto"/>
              <w:rPr/>
            </w:pPr>
            <w:r>
              <w:rPr>
                <w:spacing w:val="-11"/>
              </w:rPr>
              <w:t>测量力、应力、转矩、功、机械功率、机械效率或流体压力（称</w:t>
            </w:r>
            <w:r>
              <w:rPr>
                <w:spacing w:val="-3"/>
              </w:rPr>
              <w:t>量入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G01G</w:t>
            </w:r>
            <w:r>
              <w:rPr>
                <w:spacing w:val="-3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4</w:t>
            </w:r>
            <w:r>
              <w:rPr>
                <w:spacing w:val="-3"/>
              </w:rPr>
              <w:t>〕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398" w:lineRule="auto"/>
              <w:rPr>
                <w:rFonts w:ascii="Arial"/>
                <w:sz w:val="21"/>
              </w:rPr>
            </w:pPr>
            <w:r/>
          </w:p>
          <w:p>
            <w:pPr>
              <w:ind w:left="286"/>
              <w:spacing w:before="69" w:line="314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  <w:position w:val="1"/>
              </w:rPr>
              <w:t>18</w:t>
            </w:r>
          </w:p>
        </w:tc>
        <w:tc>
          <w:tcPr>
            <w:tcW w:w="1406" w:type="dxa"/>
            <w:vAlign w:val="top"/>
          </w:tcPr>
          <w:p>
            <w:pPr>
              <w:spacing w:line="398" w:lineRule="auto"/>
              <w:rPr>
                <w:rFonts w:ascii="Arial"/>
                <w:sz w:val="21"/>
              </w:rPr>
            </w:pPr>
            <w:r/>
          </w:p>
          <w:p>
            <w:pPr>
              <w:ind w:left="421"/>
              <w:spacing w:before="69" w:line="314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  <w:position w:val="2"/>
              </w:rPr>
              <w:t>G01C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13" w:right="106" w:firstLine="7"/>
              <w:spacing w:before="35" w:line="232" w:lineRule="auto"/>
              <w:jc w:val="both"/>
              <w:rPr/>
            </w:pPr>
            <w:r>
              <w:rPr>
                <w:spacing w:val="-2"/>
              </w:rPr>
              <w:t>测量距离、水准或者方位；勘测；导航；陀螺仪；摄影</w:t>
            </w:r>
            <w:r>
              <w:rPr>
                <w:spacing w:val="-3"/>
              </w:rPr>
              <w:t>测量学</w:t>
            </w:r>
            <w:r>
              <w:rPr>
                <w:spacing w:val="2"/>
              </w:rPr>
              <w:t>或视频测量学（液体水平面的测量入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G01F</w:t>
            </w:r>
            <w:r>
              <w:rPr>
                <w:spacing w:val="2"/>
              </w:rPr>
              <w:t>；无线</w:t>
            </w:r>
            <w:r>
              <w:rPr>
                <w:spacing w:val="1"/>
              </w:rPr>
              <w:t>电导航，通</w:t>
            </w:r>
            <w:r>
              <w:rPr>
                <w:spacing w:val="-2"/>
              </w:rPr>
              <w:t>过利用无线电波的传播效应，例如多普勒效应，传播时间来测</w:t>
            </w:r>
            <w:r>
              <w:rPr>
                <w:spacing w:val="-1"/>
              </w:rPr>
              <w:t>定距离或速度，利用其他波的类似装置入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G01S</w:t>
            </w:r>
            <w:r>
              <w:rPr>
                <w:rFonts w:ascii="Times New Roman" w:hAnsi="Times New Roman" w:eastAsia="Times New Roman" w:cs="Times New Roman"/>
                <w:spacing w:val="-29"/>
              </w:rPr>
              <w:t xml:space="preserve"> 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572" w:hRule="atLeast"/>
        </w:trPr>
        <w:tc>
          <w:tcPr>
            <w:tcW w:w="762" w:type="dxa"/>
            <w:vAlign w:val="top"/>
          </w:tcPr>
          <w:p>
            <w:pPr>
              <w:ind w:left="286"/>
              <w:spacing w:before="12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  <w:position w:val="2"/>
              </w:rPr>
              <w:t>19</w:t>
            </w:r>
          </w:p>
        </w:tc>
        <w:tc>
          <w:tcPr>
            <w:tcW w:w="1406" w:type="dxa"/>
            <w:vAlign w:val="top"/>
          </w:tcPr>
          <w:p>
            <w:pPr>
              <w:ind w:left="414"/>
              <w:spacing w:before="12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  <w:position w:val="2"/>
              </w:rPr>
              <w:t>G01G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16"/>
              <w:spacing w:before="165" w:line="216" w:lineRule="auto"/>
              <w:rPr/>
            </w:pPr>
            <w:r>
              <w:rPr>
                <w:spacing w:val="-7"/>
              </w:rPr>
              <w:t>称量</w:t>
            </w:r>
          </w:p>
        </w:tc>
      </w:tr>
      <w:tr>
        <w:trPr>
          <w:trHeight w:val="2500" w:hRule="atLeast"/>
        </w:trPr>
        <w:tc>
          <w:tcPr>
            <w:tcW w:w="762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6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  <w:position w:val="1"/>
              </w:rPr>
              <w:t>20</w:t>
            </w:r>
          </w:p>
        </w:tc>
        <w:tc>
          <w:tcPr>
            <w:tcW w:w="140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ind w:left="417"/>
              <w:spacing w:before="6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2"/>
              </w:rPr>
              <w:t>B65G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09" w:right="54" w:firstLine="4"/>
              <w:spacing w:before="35" w:line="236" w:lineRule="auto"/>
              <w:jc w:val="both"/>
              <w:rPr/>
            </w:pPr>
            <w:r>
              <w:rPr>
                <w:spacing w:val="-2"/>
              </w:rPr>
              <w:t>运输或贮存装置，例如装载或倾卸用输送机、车间输送机系统</w:t>
            </w:r>
            <w:r>
              <w:rPr>
                <w:spacing w:val="1"/>
              </w:rPr>
              <w:t>或气动管道输送机（包装用的入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B65B</w:t>
            </w:r>
            <w:r>
              <w:rPr>
                <w:spacing w:val="1"/>
              </w:rPr>
              <w:t>；搬运薄的或细丝状材</w:t>
            </w:r>
            <w:r>
              <w:rPr>
                <w:spacing w:val="-4"/>
              </w:rPr>
              <w:t>料如纸张或细丝入</w:t>
            </w:r>
            <w:r>
              <w:rPr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B65H</w:t>
            </w:r>
            <w:r>
              <w:rPr>
                <w:spacing w:val="-4"/>
              </w:rPr>
              <w:t>；起重机入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B66C</w:t>
            </w:r>
            <w:r>
              <w:rPr>
                <w:spacing w:val="-4"/>
              </w:rPr>
              <w:t>；便携式或可移动的</w:t>
            </w:r>
            <w:r>
              <w:rPr>
                <w:spacing w:val="1"/>
              </w:rPr>
              <w:t>举升或牵引器具，如升降机入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B66D</w:t>
            </w:r>
            <w:r>
              <w:rPr>
                <w:spacing w:val="1"/>
              </w:rPr>
              <w:t>；用于装载或卸载目的的</w:t>
            </w:r>
            <w:r>
              <w:rPr>
                <w:spacing w:val="-4"/>
              </w:rPr>
              <w:t>升降货物的装置，如叉车，入</w:t>
            </w:r>
            <w:r>
              <w:rPr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B66F9/00</w:t>
            </w:r>
            <w:r>
              <w:rPr>
                <w:spacing w:val="-4"/>
              </w:rPr>
              <w:t>；不包括在其他类目中</w:t>
            </w:r>
            <w:r>
              <w:rPr>
                <w:spacing w:val="-3"/>
              </w:rPr>
              <w:t>的瓶子、罐、罐头、木桶、桶或类似容器的排空入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B67C9/00</w:t>
            </w:r>
            <w:r>
              <w:rPr>
                <w:spacing w:val="-3"/>
              </w:rPr>
              <w:t>；</w:t>
            </w:r>
            <w:r>
              <w:rPr>
                <w:spacing w:val="1"/>
              </w:rPr>
              <w:t>液体分配或转移入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B67D</w:t>
            </w:r>
            <w:r>
              <w:rPr>
                <w:spacing w:val="1"/>
              </w:rPr>
              <w:t>；将压缩的、液化的或固体化的气体</w:t>
            </w:r>
            <w:r>
              <w:rPr>
                <w:spacing w:val="-1"/>
              </w:rPr>
              <w:t>灌入容器或从容器内排出入</w:t>
            </w:r>
            <w:r>
              <w:rPr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F17C</w:t>
            </w:r>
            <w:r>
              <w:rPr>
                <w:spacing w:val="-1"/>
              </w:rPr>
              <w:t>；流体用管道系统入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F17D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ind w:left="263"/>
              <w:spacing w:before="160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  <w:position w:val="1"/>
              </w:rPr>
              <w:t>21</w:t>
            </w:r>
          </w:p>
        </w:tc>
        <w:tc>
          <w:tcPr>
            <w:tcW w:w="1406" w:type="dxa"/>
            <w:vAlign w:val="top"/>
          </w:tcPr>
          <w:p>
            <w:pPr>
              <w:ind w:left="429"/>
              <w:spacing w:before="160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F04D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40" w:right="54" w:hanging="14"/>
              <w:spacing w:before="5" w:line="236" w:lineRule="auto"/>
              <w:rPr/>
            </w:pPr>
            <w:r>
              <w:rPr>
                <w:spacing w:val="-10"/>
              </w:rPr>
              <w:t>非变容式泵（发动机燃料喷射泵入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F02M</w:t>
            </w:r>
            <w:r>
              <w:rPr>
                <w:spacing w:val="-10"/>
              </w:rPr>
              <w:t>；离子泵入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H01J41/12</w:t>
            </w:r>
            <w:r>
              <w:rPr>
                <w:spacing w:val="-10"/>
              </w:rPr>
              <w:t>；</w:t>
            </w:r>
            <w:r>
              <w:rPr>
                <w:spacing w:val="-4"/>
              </w:rPr>
              <w:t>电动泵入</w:t>
            </w:r>
            <w:r>
              <w:rPr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H02K44/02</w:t>
            </w:r>
            <w:r>
              <w:rPr>
                <w:spacing w:val="-4"/>
              </w:rPr>
              <w:t>）</w:t>
            </w:r>
          </w:p>
        </w:tc>
      </w:tr>
      <w:tr>
        <w:trPr>
          <w:trHeight w:val="2188" w:hRule="atLeast"/>
        </w:trPr>
        <w:tc>
          <w:tcPr>
            <w:tcW w:w="762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6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  <w:position w:val="1"/>
              </w:rPr>
              <w:t>22</w:t>
            </w:r>
          </w:p>
        </w:tc>
        <w:tc>
          <w:tcPr>
            <w:tcW w:w="1406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ind w:left="417"/>
              <w:spacing w:before="6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  <w:position w:val="1"/>
              </w:rPr>
              <w:t>B23K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05" w:right="106" w:firstLine="8"/>
              <w:spacing w:before="39" w:line="235" w:lineRule="auto"/>
              <w:jc w:val="both"/>
              <w:rPr/>
            </w:pPr>
            <w:r>
              <w:rPr>
                <w:spacing w:val="-2"/>
              </w:rPr>
              <w:t>钎焊或脱焊；焊接；用钎焊或焊接方法包覆或镀敷；局部加热</w:t>
            </w:r>
            <w:r>
              <w:rPr>
                <w:spacing w:val="-2"/>
              </w:rPr>
              <w:t>切割，如火焰切割；用激光束加工（用金属的挤压来制造金属</w:t>
            </w:r>
            <w:r>
              <w:rPr>
                <w:spacing w:val="13"/>
              </w:rPr>
              <w:t>包覆产品入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B21C23/22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 xml:space="preserve"> </w:t>
            </w:r>
            <w:r>
              <w:rPr>
                <w:spacing w:val="13"/>
              </w:rPr>
              <w:t>；用铸造方法制造衬套或包覆层入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B22D</w:t>
            </w:r>
            <w:r>
              <w:rPr>
                <w:rFonts w:ascii="Times New Roman" w:hAnsi="Times New Roman" w:eastAsia="Times New Roman" w:cs="Times New Roman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19/08</w:t>
            </w:r>
            <w:r>
              <w:rPr>
                <w:spacing w:val="1"/>
              </w:rPr>
              <w:t>；用浸入方式的铸造入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B22D23/04</w:t>
            </w:r>
            <w:r>
              <w:rPr/>
              <w:t>；用烧结金属粉</w:t>
            </w:r>
            <w:r>
              <w:rPr>
                <w:spacing w:val="4"/>
              </w:rPr>
              <w:t>末制造复合层入</w:t>
            </w:r>
            <w:r>
              <w:rPr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B22F7/00</w:t>
            </w:r>
            <w:r>
              <w:rPr>
                <w:spacing w:val="4"/>
              </w:rPr>
              <w:t>；机床上的仿形加工或控制装置入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B23Q</w:t>
            </w:r>
            <w:r>
              <w:rPr>
                <w:spacing w:val="11"/>
              </w:rPr>
              <w:t>；不包含在其他类目</w:t>
            </w:r>
            <w:r>
              <w:rPr>
                <w:spacing w:val="-66"/>
              </w:rPr>
              <w:t xml:space="preserve"> </w:t>
            </w:r>
            <w:r>
              <w:rPr>
                <w:spacing w:val="11"/>
              </w:rPr>
              <w:t>中的包覆金属或金</w:t>
            </w:r>
            <w:r>
              <w:rPr>
                <w:spacing w:val="10"/>
              </w:rPr>
              <w:t>属包覆材料入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C23C</w:t>
            </w:r>
            <w:r>
              <w:rPr>
                <w:spacing w:val="-1"/>
              </w:rPr>
              <w:t>；燃烧器入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F23D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2500" w:hRule="atLeast"/>
        </w:trPr>
        <w:tc>
          <w:tcPr>
            <w:tcW w:w="762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69" w:line="314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  <w:position w:val="1"/>
              </w:rPr>
              <w:t>23</w:t>
            </w:r>
          </w:p>
        </w:tc>
        <w:tc>
          <w:tcPr>
            <w:tcW w:w="140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422"/>
              <w:spacing w:before="69" w:line="314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B08B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08" w:right="54" w:firstLine="20"/>
              <w:spacing w:before="4" w:line="239" w:lineRule="auto"/>
              <w:jc w:val="both"/>
              <w:rPr/>
            </w:pPr>
            <w:r>
              <w:rPr>
                <w:spacing w:val="-2"/>
              </w:rPr>
              <w:t>一般清洁；一般污垢的防除（刷子入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A46</w:t>
            </w:r>
            <w:r>
              <w:rPr>
                <w:spacing w:val="-2"/>
              </w:rPr>
              <w:t>；家庭或类</w:t>
            </w:r>
            <w:r>
              <w:rPr>
                <w:spacing w:val="-3"/>
              </w:rPr>
              <w:t>似清洁装</w:t>
            </w:r>
            <w:r>
              <w:rPr>
                <w:spacing w:val="4"/>
              </w:rPr>
              <w:t>置入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A47L</w:t>
            </w:r>
            <w:r>
              <w:rPr>
                <w:spacing w:val="4"/>
              </w:rPr>
              <w:t>；颗粒从液体或气体中分离入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B01D</w:t>
            </w:r>
            <w:r>
              <w:rPr>
                <w:spacing w:val="4"/>
              </w:rPr>
              <w:t>；固体分离入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B03</w:t>
            </w:r>
            <w:r>
              <w:rPr>
                <w:spacing w:val="-9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B07</w:t>
            </w:r>
            <w:r>
              <w:rPr>
                <w:spacing w:val="-9"/>
              </w:rPr>
              <w:t>；一般对表面喷射或涂敷液体或其他流</w:t>
            </w:r>
            <w:r>
              <w:rPr>
                <w:spacing w:val="-10"/>
              </w:rPr>
              <w:t>体材料入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B05</w:t>
            </w:r>
            <w:r>
              <w:rPr>
                <w:spacing w:val="-10"/>
              </w:rPr>
              <w:t>；</w:t>
            </w:r>
            <w:r>
              <w:rPr>
                <w:spacing w:val="1"/>
              </w:rPr>
              <w:t>用于输送机的清洗装置入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B65G45/10</w:t>
            </w:r>
            <w:r>
              <w:rPr/>
              <w:t>；对瓶子同时进行清洗、</w:t>
            </w:r>
            <w:r>
              <w:rPr>
                <w:spacing w:val="-4"/>
              </w:rPr>
              <w:t>灌注和封装的入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B67C7/00</w:t>
            </w:r>
            <w:r>
              <w:rPr>
                <w:spacing w:val="-4"/>
              </w:rPr>
              <w:t>；一般腐蚀或积垢的防止入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C23</w:t>
            </w:r>
            <w:r>
              <w:rPr>
                <w:spacing w:val="-4"/>
              </w:rPr>
              <w:t>；街</w:t>
            </w:r>
            <w:r>
              <w:rPr>
                <w:spacing w:val="1"/>
              </w:rPr>
              <w:t>道、永久性道路、海滨或陆地的清洗入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E01H</w:t>
            </w:r>
            <w:r>
              <w:rPr>
                <w:spacing w:val="1"/>
              </w:rPr>
              <w:t>；专门用于游泳</w:t>
            </w:r>
            <w:r>
              <w:rPr>
                <w:spacing w:val="-2"/>
              </w:rPr>
              <w:t>池或仿海滨浴场浅水池或池子的部件、零件或辅助设备清洁的</w:t>
            </w:r>
            <w:r>
              <w:rPr>
                <w:spacing w:val="-1"/>
              </w:rPr>
              <w:t>入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E04H4/16</w:t>
            </w:r>
            <w:r>
              <w:rPr>
                <w:spacing w:val="-1"/>
              </w:rPr>
              <w:t>；防止或清除静电荷入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H05F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1567" w:hRule="atLeast"/>
        </w:trPr>
        <w:tc>
          <w:tcPr>
            <w:tcW w:w="762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6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  <w:position w:val="1"/>
              </w:rPr>
              <w:t>24</w:t>
            </w:r>
          </w:p>
        </w:tc>
        <w:tc>
          <w:tcPr>
            <w:tcW w:w="1406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ind w:left="436"/>
              <w:spacing w:before="6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F26B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05" w:right="54" w:firstLine="13"/>
              <w:spacing w:before="42" w:line="233" w:lineRule="auto"/>
              <w:jc w:val="both"/>
              <w:rPr/>
            </w:pPr>
            <w:r>
              <w:rPr>
                <w:spacing w:val="-2"/>
              </w:rPr>
              <w:t>从固体材料或制品中消除液体的干燥（联合收割机的干燥装置</w:t>
            </w:r>
            <w:r>
              <w:rPr>
                <w:spacing w:val="-3"/>
              </w:rPr>
              <w:t>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A01D41/133</w:t>
            </w:r>
            <w:r>
              <w:rPr>
                <w:spacing w:val="-3"/>
              </w:rPr>
              <w:t>；干燥果实或疏菜用的框架入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A01F25/1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2</w:t>
            </w:r>
            <w:r>
              <w:rPr>
                <w:spacing w:val="-4"/>
              </w:rPr>
              <w:t>；干燥</w:t>
            </w:r>
            <w:r>
              <w:rPr>
                <w:spacing w:val="6"/>
              </w:rPr>
              <w:t>食品入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A23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 xml:space="preserve"> </w:t>
            </w:r>
            <w:r>
              <w:rPr>
                <w:spacing w:val="6"/>
              </w:rPr>
              <w:t>；</w:t>
            </w:r>
            <w:r>
              <w:rPr>
                <w:spacing w:val="-66"/>
              </w:rPr>
              <w:t xml:space="preserve"> </w:t>
            </w:r>
            <w:r>
              <w:rPr>
                <w:spacing w:val="6"/>
              </w:rPr>
              <w:t>干燥头发入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A45D20/00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 xml:space="preserve"> </w:t>
            </w:r>
            <w:r>
              <w:rPr>
                <w:spacing w:val="6"/>
              </w:rPr>
              <w:t>；</w:t>
            </w:r>
            <w:r>
              <w:rPr>
                <w:spacing w:val="-66"/>
              </w:rPr>
              <w:t xml:space="preserve"> </w:t>
            </w:r>
            <w:r>
              <w:rPr>
                <w:spacing w:val="6"/>
              </w:rPr>
              <w:t>干燥身体的器具入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A47K10/00</w:t>
            </w:r>
            <w:r>
              <w:rPr>
                <w:spacing w:val="-6"/>
              </w:rPr>
              <w:t>；干燥家庭物品入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A47L</w:t>
            </w:r>
            <w:r>
              <w:rPr>
                <w:spacing w:val="-6"/>
              </w:rPr>
              <w:t>；干</w:t>
            </w:r>
            <w:r>
              <w:rPr>
                <w:spacing w:val="-7"/>
              </w:rPr>
              <w:t>燥气体或蒸汽入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B01D</w:t>
            </w:r>
            <w:r>
              <w:rPr>
                <w:spacing w:val="-7"/>
              </w:rPr>
              <w:t>；</w:t>
            </w:r>
            <w:r>
              <w:rPr>
                <w:spacing w:val="-1"/>
              </w:rPr>
              <w:t>脱</w:t>
            </w:r>
            <w:r>
              <w:rPr>
                <w:spacing w:val="-64"/>
              </w:rPr>
              <w:t xml:space="preserve"> </w:t>
            </w:r>
            <w:r>
              <w:rPr>
                <w:spacing w:val="-1"/>
              </w:rPr>
              <w:t>水</w:t>
            </w:r>
            <w:r>
              <w:rPr>
                <w:spacing w:val="-67"/>
              </w:rPr>
              <w:t xml:space="preserve"> </w:t>
            </w:r>
            <w:r>
              <w:rPr>
                <w:spacing w:val="-1"/>
              </w:rPr>
              <w:t>或类</w:t>
            </w:r>
            <w:r>
              <w:rPr>
                <w:spacing w:val="-71"/>
              </w:rPr>
              <w:t xml:space="preserve"> </w:t>
            </w:r>
            <w:r>
              <w:rPr>
                <w:spacing w:val="-1"/>
              </w:rPr>
              <w:t>似的</w:t>
            </w:r>
            <w:r>
              <w:rPr>
                <w:spacing w:val="-61"/>
              </w:rPr>
              <w:t xml:space="preserve"> </w:t>
            </w:r>
            <w:r>
              <w:rPr>
                <w:spacing w:val="-1"/>
              </w:rPr>
              <w:t>从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固体</w:t>
            </w:r>
            <w:r>
              <w:rPr>
                <w:spacing w:val="-65"/>
              </w:rPr>
              <w:t xml:space="preserve"> </w:t>
            </w:r>
            <w:r>
              <w:rPr>
                <w:spacing w:val="-1"/>
              </w:rPr>
              <w:t>分</w:t>
            </w:r>
            <w:r>
              <w:rPr>
                <w:spacing w:val="-57"/>
              </w:rPr>
              <w:t xml:space="preserve"> </w:t>
            </w:r>
            <w:r>
              <w:rPr>
                <w:spacing w:val="-1"/>
              </w:rPr>
              <w:t>离</w:t>
            </w:r>
            <w:r>
              <w:rPr>
                <w:spacing w:val="-36"/>
              </w:rPr>
              <w:t xml:space="preserve"> </w:t>
            </w:r>
            <w:r>
              <w:rPr>
                <w:spacing w:val="-1"/>
              </w:rPr>
              <w:t>出</w:t>
            </w:r>
            <w:r>
              <w:rPr>
                <w:spacing w:val="-64"/>
              </w:rPr>
              <w:t xml:space="preserve"> </w:t>
            </w:r>
            <w:r>
              <w:rPr>
                <w:spacing w:val="-1"/>
              </w:rPr>
              <w:t>液体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的</w:t>
            </w:r>
            <w:r>
              <w:rPr>
                <w:spacing w:val="-61"/>
              </w:rPr>
              <w:t xml:space="preserve"> </w:t>
            </w:r>
            <w:r>
              <w:rPr>
                <w:spacing w:val="-1"/>
              </w:rPr>
              <w:t>化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学</w:t>
            </w:r>
            <w:r>
              <w:rPr>
                <w:spacing w:val="-70"/>
              </w:rPr>
              <w:t xml:space="preserve"> </w:t>
            </w:r>
            <w:r>
              <w:rPr>
                <w:spacing w:val="-1"/>
              </w:rPr>
              <w:t>或物</w:t>
            </w:r>
            <w:r>
              <w:rPr>
                <w:spacing w:val="-67"/>
              </w:rPr>
              <w:t xml:space="preserve"> </w:t>
            </w:r>
            <w:r>
              <w:rPr>
                <w:spacing w:val="-1"/>
              </w:rPr>
              <w:t>理</w:t>
            </w:r>
            <w:r>
              <w:rPr>
                <w:spacing w:val="-66"/>
              </w:rPr>
              <w:t xml:space="preserve"> </w:t>
            </w:r>
            <w:r>
              <w:rPr>
                <w:spacing w:val="-1"/>
              </w:rPr>
              <w:t>方法</w:t>
            </w:r>
            <w:r>
              <w:rPr>
                <w:spacing w:val="-66"/>
              </w:rPr>
              <w:t xml:space="preserve"> </w:t>
            </w:r>
            <w:r>
              <w:rPr>
                <w:spacing w:val="-1"/>
              </w:rPr>
              <w:t>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"/>
          <w:pgSz w:w="11906" w:h="16839"/>
          <w:pgMar w:top="1431" w:right="1481" w:bottom="1596" w:left="1594" w:header="0" w:footer="123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25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6657"/>
      </w:tblGrid>
      <w:tr>
        <w:trPr>
          <w:trHeight w:val="63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197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36" w:right="107" w:hanging="128"/>
              <w:spacing w:before="39" w:line="224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>
                <w:b/>
                <w:bCs/>
                <w:spacing w:val="-8"/>
              </w:rPr>
              <w:t>（小类）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3103"/>
              <w:spacing w:before="197" w:line="224" w:lineRule="auto"/>
              <w:rPr/>
            </w:pPr>
            <w:r>
              <w:rPr>
                <w:b/>
                <w:bCs/>
                <w:spacing w:val="-12"/>
              </w:rPr>
              <w:t>类名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11" w:right="106" w:hanging="3"/>
              <w:spacing w:before="4" w:line="238" w:lineRule="auto"/>
              <w:jc w:val="both"/>
              <w:rPr/>
            </w:pPr>
            <w:r>
              <w:rPr>
                <w:rFonts w:ascii="Times New Roman" w:hAnsi="Times New Roman" w:eastAsia="Times New Roman" w:cs="Times New Roman"/>
                <w:spacing w:val="2"/>
              </w:rPr>
              <w:t>B01D43/00</w:t>
            </w:r>
            <w:r>
              <w:rPr>
                <w:spacing w:val="2"/>
              </w:rPr>
              <w:t>；离心设备入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B04</w:t>
            </w:r>
            <w:r>
              <w:rPr>
                <w:spacing w:val="2"/>
              </w:rPr>
              <w:t>；干燥陶瓷器入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C</w:t>
            </w:r>
            <w:r>
              <w:rPr>
                <w:rFonts w:ascii="Times New Roman" w:hAnsi="Times New Roman" w:eastAsia="Times New Roman" w:cs="Times New Roman"/>
                <w:spacing w:val="1"/>
              </w:rPr>
              <w:t>04B33/30</w:t>
            </w:r>
            <w:r>
              <w:rPr>
                <w:spacing w:val="1"/>
              </w:rPr>
              <w:t>；与</w:t>
            </w:r>
            <w:r>
              <w:rPr>
                <w:spacing w:val="1"/>
              </w:rPr>
              <w:t>其他处理方式结合的干燥纱线或纤维入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D06C</w:t>
            </w:r>
            <w:r>
              <w:rPr>
                <w:spacing w:val="1"/>
              </w:rPr>
              <w:t>；没有加热或正</w:t>
            </w:r>
            <w:r>
              <w:rPr>
                <w:spacing w:val="-2"/>
              </w:rPr>
              <w:t>向空气循环的洗衣用干燥框架，家用洗衣干燥机或旋转式脱水</w:t>
            </w:r>
            <w:r>
              <w:rPr>
                <w:spacing w:val="-1"/>
              </w:rPr>
              <w:t>机，拧干或热压洗衣入</w:t>
            </w:r>
            <w:r>
              <w:rPr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D06F</w:t>
            </w:r>
            <w:r>
              <w:rPr>
                <w:spacing w:val="-1"/>
              </w:rPr>
              <w:t>；炉、窑、烘烤炉入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F27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941" w:hRule="atLeast"/>
        </w:trPr>
        <w:tc>
          <w:tcPr>
            <w:tcW w:w="762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69" w:line="314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  <w:position w:val="1"/>
              </w:rPr>
              <w:t>25</w:t>
            </w:r>
          </w:p>
        </w:tc>
        <w:tc>
          <w:tcPr>
            <w:tcW w:w="140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422"/>
              <w:spacing w:before="69" w:line="314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B24B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13" w:right="106"/>
              <w:spacing w:before="2" w:line="238" w:lineRule="auto"/>
              <w:jc w:val="both"/>
              <w:rPr/>
            </w:pPr>
            <w:r>
              <w:rPr>
                <w:spacing w:val="1"/>
              </w:rPr>
              <w:t>用于磨削或抛光的机床、装置或工艺（用电蚀入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B23H</w:t>
            </w:r>
            <w:r>
              <w:rPr>
                <w:spacing w:val="1"/>
              </w:rPr>
              <w:t>；磨料</w:t>
            </w:r>
            <w:r>
              <w:rPr>
                <w:spacing w:val="-1"/>
              </w:rPr>
              <w:t>或有关喷射入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B24C</w:t>
            </w:r>
            <w:r>
              <w:rPr>
                <w:spacing w:val="-1"/>
              </w:rPr>
              <w:t>；电解浸蚀或电解抛光入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C25F3/00</w:t>
            </w:r>
            <w:r>
              <w:rPr>
                <w:spacing w:val="4"/>
              </w:rPr>
              <w:t>）；</w:t>
            </w:r>
            <w:r>
              <w:rPr>
                <w:spacing w:val="-1"/>
              </w:rPr>
              <w:t>磨</w:t>
            </w:r>
            <w:r>
              <w:rPr>
                <w:spacing w:val="-1"/>
              </w:rPr>
              <w:t>具磨损表面的修理或调节；磨削，抛光剂或研磨剂的进给</w:t>
            </w:r>
          </w:p>
        </w:tc>
      </w:tr>
      <w:tr>
        <w:trPr>
          <w:trHeight w:val="572" w:hRule="atLeast"/>
        </w:trPr>
        <w:tc>
          <w:tcPr>
            <w:tcW w:w="762" w:type="dxa"/>
            <w:vAlign w:val="top"/>
          </w:tcPr>
          <w:p>
            <w:pPr>
              <w:ind w:left="263"/>
              <w:spacing w:before="12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  <w:position w:val="1"/>
              </w:rPr>
              <w:t>26</w:t>
            </w:r>
          </w:p>
        </w:tc>
        <w:tc>
          <w:tcPr>
            <w:tcW w:w="1406" w:type="dxa"/>
            <w:vAlign w:val="top"/>
          </w:tcPr>
          <w:p>
            <w:pPr>
              <w:ind w:left="429"/>
              <w:spacing w:before="12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F03D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14"/>
              <w:spacing w:before="166" w:line="216" w:lineRule="auto"/>
              <w:rPr/>
            </w:pPr>
            <w:r>
              <w:rPr>
                <w:spacing w:val="-6"/>
              </w:rPr>
              <w:t>风能</w:t>
            </w:r>
          </w:p>
        </w:tc>
      </w:tr>
      <w:tr>
        <w:trPr>
          <w:trHeight w:val="572" w:hRule="atLeast"/>
        </w:trPr>
        <w:tc>
          <w:tcPr>
            <w:tcW w:w="762" w:type="dxa"/>
            <w:vAlign w:val="top"/>
          </w:tcPr>
          <w:p>
            <w:pPr>
              <w:ind w:left="263"/>
              <w:spacing w:before="128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  <w:position w:val="2"/>
              </w:rPr>
              <w:t>27</w:t>
            </w:r>
          </w:p>
        </w:tc>
        <w:tc>
          <w:tcPr>
            <w:tcW w:w="1406" w:type="dxa"/>
            <w:vAlign w:val="top"/>
          </w:tcPr>
          <w:p>
            <w:pPr>
              <w:ind w:left="410"/>
              <w:spacing w:before="128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  <w:position w:val="1"/>
              </w:rPr>
              <w:t>H05K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43"/>
              <w:spacing w:before="165" w:line="216" w:lineRule="auto"/>
              <w:rPr/>
            </w:pPr>
            <w:r>
              <w:rPr>
                <w:spacing w:val="-3"/>
              </w:rPr>
              <w:t>印刷电路；电设备的外壳或结构零部件；电气元件组件的制造</w:t>
            </w:r>
          </w:p>
        </w:tc>
      </w:tr>
      <w:tr>
        <w:trPr>
          <w:trHeight w:val="941" w:hRule="atLeast"/>
        </w:trPr>
        <w:tc>
          <w:tcPr>
            <w:tcW w:w="762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69" w:line="314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  <w:position w:val="1"/>
              </w:rPr>
              <w:t>28</w:t>
            </w:r>
          </w:p>
        </w:tc>
        <w:tc>
          <w:tcPr>
            <w:tcW w:w="140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417"/>
              <w:spacing w:before="69" w:line="314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B65D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13" w:right="106"/>
              <w:spacing w:before="37" w:line="229" w:lineRule="auto"/>
              <w:jc w:val="both"/>
              <w:rPr/>
            </w:pPr>
            <w:r>
              <w:rPr>
                <w:spacing w:val="-2"/>
              </w:rPr>
              <w:t>用于物件或物料贮存或运输的容器，如袋、桶、瓶子、箱盒、</w:t>
            </w:r>
            <w:r>
              <w:rPr>
                <w:spacing w:val="-2"/>
              </w:rPr>
              <w:t>罐头、纸板箱、板条箱、圆桶、罐、槽、料仓、运输容器；所</w:t>
            </w:r>
            <w:r>
              <w:rPr>
                <w:spacing w:val="-1"/>
              </w:rPr>
              <w:t>用的附件、封口或配件；包装元件；包装件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ind w:left="263"/>
              <w:spacing w:before="158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  <w:position w:val="2"/>
              </w:rPr>
              <w:t>29</w:t>
            </w:r>
          </w:p>
        </w:tc>
        <w:tc>
          <w:tcPr>
            <w:tcW w:w="1406" w:type="dxa"/>
            <w:vAlign w:val="top"/>
          </w:tcPr>
          <w:p>
            <w:pPr>
              <w:ind w:left="417"/>
              <w:spacing w:before="158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  <w:position w:val="1"/>
              </w:rPr>
              <w:t>H01R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18" w:right="54" w:firstLine="6"/>
              <w:spacing w:before="39" w:line="223" w:lineRule="auto"/>
              <w:rPr/>
            </w:pPr>
            <w:r>
              <w:rPr>
                <w:spacing w:val="-9"/>
              </w:rPr>
              <w:t>导电连接；一组相互绝缘的电连接元件的结构组合；连接装置；</w:t>
            </w:r>
            <w:r>
              <w:rPr>
                <w:spacing w:val="-5"/>
              </w:rPr>
              <w:t>集电器</w:t>
            </w:r>
          </w:p>
        </w:tc>
      </w:tr>
      <w:tr>
        <w:trPr>
          <w:trHeight w:val="1876" w:hRule="atLeast"/>
        </w:trPr>
        <w:tc>
          <w:tcPr>
            <w:tcW w:w="762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  <w:r/>
          </w:p>
          <w:p>
            <w:pPr>
              <w:spacing w:line="354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6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  <w:position w:val="1"/>
              </w:rPr>
              <w:t>30</w:t>
            </w:r>
          </w:p>
        </w:tc>
        <w:tc>
          <w:tcPr>
            <w:tcW w:w="1406" w:type="dxa"/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  <w:r/>
          </w:p>
          <w:p>
            <w:pPr>
              <w:spacing w:line="354" w:lineRule="auto"/>
              <w:rPr>
                <w:rFonts w:ascii="Arial"/>
                <w:sz w:val="21"/>
              </w:rPr>
            </w:pPr>
            <w:r/>
          </w:p>
          <w:p>
            <w:pPr>
              <w:ind w:left="417"/>
              <w:spacing w:before="6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H02B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10" w:right="45" w:hanging="2"/>
              <w:spacing w:before="40" w:line="234" w:lineRule="auto"/>
              <w:jc w:val="both"/>
              <w:rPr/>
            </w:pPr>
            <w:r>
              <w:rPr>
                <w:spacing w:val="-4"/>
              </w:rPr>
              <w:t>供电或配电用的配电盘、变电站或开关装置（</w:t>
            </w:r>
            <w:r>
              <w:rPr>
                <w:spacing w:val="-51"/>
              </w:rPr>
              <w:t xml:space="preserve"> </w:t>
            </w:r>
            <w:r>
              <w:rPr>
                <w:spacing w:val="-4"/>
              </w:rPr>
              <w:t>电</w:t>
            </w:r>
            <w:r>
              <w:rPr>
                <w:spacing w:val="-5"/>
              </w:rPr>
              <w:t>基本元件，它</w:t>
            </w:r>
            <w:r>
              <w:rPr>
                <w:spacing w:val="-2"/>
              </w:rPr>
              <w:t>们的组件，包括在外壳里或基件上的安装架，或在其上盖的安</w:t>
            </w:r>
            <w:r>
              <w:rPr>
                <w:spacing w:val="2"/>
              </w:rPr>
              <w:t>装架见这些元件的小类，例如变压器入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H01F</w:t>
            </w:r>
            <w:r>
              <w:rPr>
                <w:spacing w:val="2"/>
              </w:rPr>
              <w:t>，开关、熔断器</w:t>
            </w:r>
            <w:r>
              <w:rPr>
                <w:spacing w:val="-3"/>
              </w:rPr>
              <w:t>入</w:t>
            </w:r>
            <w:r>
              <w:rPr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H01H</w:t>
            </w:r>
            <w:r>
              <w:rPr>
                <w:spacing w:val="-3"/>
              </w:rPr>
              <w:t>，线路连接器入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H01R</w:t>
            </w:r>
            <w:r>
              <w:rPr>
                <w:spacing w:val="-3"/>
              </w:rPr>
              <w:t>；供电或配电电线电缆的安装，</w:t>
            </w:r>
            <w:r>
              <w:rPr>
                <w:spacing w:val="-2"/>
              </w:rPr>
              <w:t>或光电组合电缆或电线的安装，或其他供电或配电导体的安装</w:t>
            </w:r>
            <w:r>
              <w:rPr>
                <w:spacing w:val="-3"/>
              </w:rPr>
              <w:t>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H02G</w:t>
            </w:r>
            <w:r>
              <w:rPr>
                <w:spacing w:val="-3"/>
              </w:rPr>
              <w:t>）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ind w:left="268"/>
              <w:spacing w:before="158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  <w:position w:val="1"/>
              </w:rPr>
              <w:t>31</w:t>
            </w:r>
          </w:p>
        </w:tc>
        <w:tc>
          <w:tcPr>
            <w:tcW w:w="1406" w:type="dxa"/>
            <w:vAlign w:val="top"/>
          </w:tcPr>
          <w:p>
            <w:pPr>
              <w:ind w:left="395"/>
              <w:spacing w:before="158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  <w:position w:val="2"/>
              </w:rPr>
              <w:t>G01M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12" w:right="106" w:hanging="1"/>
              <w:spacing w:before="39" w:line="223" w:lineRule="auto"/>
              <w:rPr/>
            </w:pPr>
            <w:r>
              <w:rPr>
                <w:spacing w:val="-2"/>
              </w:rPr>
              <w:t>机器或结构部件的静或动平衡的测试；其他类目中不包括的结</w:t>
            </w:r>
            <w:r>
              <w:rPr>
                <w:spacing w:val="-2"/>
              </w:rPr>
              <w:t>构部件或设备的测试</w:t>
            </w:r>
          </w:p>
        </w:tc>
      </w:tr>
      <w:tr>
        <w:trPr>
          <w:trHeight w:val="940" w:hRule="atLeast"/>
        </w:trPr>
        <w:tc>
          <w:tcPr>
            <w:tcW w:w="762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6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  <w:position w:val="1"/>
              </w:rPr>
              <w:t>32</w:t>
            </w:r>
          </w:p>
        </w:tc>
        <w:tc>
          <w:tcPr>
            <w:tcW w:w="140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410"/>
              <w:spacing w:before="6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H01H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15" w:right="54" w:firstLine="26"/>
              <w:spacing w:before="5" w:line="237" w:lineRule="auto"/>
              <w:jc w:val="both"/>
              <w:rPr/>
            </w:pPr>
            <w:r>
              <w:rPr>
                <w:spacing w:val="-17"/>
              </w:rPr>
              <w:t>电开关；继电器；选择器；紧急保护装置（接触电缆入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H01B7/10</w:t>
            </w:r>
            <w:r>
              <w:rPr>
                <w:spacing w:val="-17"/>
              </w:rPr>
              <w:t>；</w:t>
            </w:r>
            <w:r>
              <w:rPr>
                <w:spacing w:val="-3"/>
              </w:rPr>
              <w:t>电解式自断续器入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H01G9/18</w:t>
            </w:r>
            <w:r>
              <w:rPr>
                <w:spacing w:val="-3"/>
              </w:rPr>
              <w:t>；紧急保护电路装置入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H02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H</w:t>
            </w:r>
            <w:r>
              <w:rPr>
                <w:spacing w:val="-4"/>
              </w:rPr>
              <w:t>；无</w:t>
            </w:r>
            <w:r>
              <w:rPr>
                <w:spacing w:val="-3"/>
              </w:rPr>
              <w:t>触点电子开关入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H03K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17/00</w:t>
            </w:r>
            <w:r>
              <w:rPr>
                <w:spacing w:val="-3"/>
              </w:rPr>
              <w:t>）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401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6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  <w:position w:val="1"/>
              </w:rPr>
              <w:t>33</w:t>
            </w:r>
          </w:p>
        </w:tc>
        <w:tc>
          <w:tcPr>
            <w:tcW w:w="1406" w:type="dxa"/>
            <w:vAlign w:val="top"/>
          </w:tcPr>
          <w:p>
            <w:pPr>
              <w:spacing w:line="401" w:lineRule="auto"/>
              <w:rPr>
                <w:rFonts w:ascii="Arial"/>
                <w:sz w:val="21"/>
              </w:rPr>
            </w:pPr>
            <w:r/>
          </w:p>
          <w:p>
            <w:pPr>
              <w:ind w:left="410"/>
              <w:spacing w:before="6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2"/>
              </w:rPr>
              <w:t>H02G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19" w:right="106" w:firstLine="22"/>
              <w:spacing w:before="40" w:line="231" w:lineRule="auto"/>
              <w:jc w:val="both"/>
              <w:rPr/>
            </w:pPr>
            <w:r>
              <w:rPr>
                <w:spacing w:val="-5"/>
              </w:rPr>
              <w:t>电缆或电线的安装，或光电组合电缆或电线的安装（</w:t>
            </w:r>
            <w:r>
              <w:rPr>
                <w:spacing w:val="-62"/>
              </w:rPr>
              <w:t xml:space="preserve"> </w:t>
            </w:r>
            <w:r>
              <w:rPr>
                <w:spacing w:val="-5"/>
              </w:rPr>
              <w:t>带有便于</w:t>
            </w:r>
            <w:r>
              <w:rPr>
                <w:spacing w:val="2"/>
              </w:rPr>
              <w:t>安装或固定装置的绝缘导体或电缆入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H01B7/40</w:t>
            </w:r>
            <w:r>
              <w:rPr>
                <w:spacing w:val="2"/>
              </w:rPr>
              <w:t>；装有开关的</w:t>
            </w:r>
            <w:r>
              <w:rPr>
                <w:spacing w:val="-5"/>
              </w:rPr>
              <w:t>配电站入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H02B</w:t>
            </w:r>
            <w:r>
              <w:rPr>
                <w:spacing w:val="-5"/>
              </w:rPr>
              <w:t>；引导式电话塞绳入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H04M</w:t>
            </w:r>
            <w:r>
              <w:rPr>
                <w:rFonts w:ascii="Times New Roman" w:hAnsi="Times New Roman" w:eastAsia="Times New Roman" w:cs="Times New Roman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1/15</w:t>
            </w:r>
            <w:r>
              <w:rPr>
                <w:spacing w:val="-5"/>
              </w:rPr>
              <w:t>；电缆管道或电</w:t>
            </w:r>
            <w:r>
              <w:rPr>
                <w:spacing w:val="-1"/>
              </w:rPr>
              <w:t>报或电话交换局设备的安装入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H04Q1/06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ind w:left="268"/>
              <w:spacing w:before="161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  <w:position w:val="1"/>
              </w:rPr>
              <w:t>34</w:t>
            </w:r>
          </w:p>
        </w:tc>
        <w:tc>
          <w:tcPr>
            <w:tcW w:w="1406" w:type="dxa"/>
            <w:vAlign w:val="top"/>
          </w:tcPr>
          <w:p>
            <w:pPr>
              <w:ind w:left="417"/>
              <w:spacing w:before="161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H01B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17" w:right="106" w:firstLine="24"/>
              <w:spacing w:before="41" w:line="222" w:lineRule="auto"/>
              <w:rPr/>
            </w:pPr>
            <w:r>
              <w:rPr>
                <w:spacing w:val="-3"/>
              </w:rPr>
              <w:t>电缆；导体；绝缘体；导电、绝缘或介电材料的选择（磁性材</w:t>
            </w:r>
            <w:r>
              <w:rPr>
                <w:spacing w:val="-2"/>
              </w:rPr>
              <w:t>料的选择入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H01F</w:t>
            </w:r>
            <w:r>
              <w:rPr>
                <w:rFonts w:ascii="Times New Roman" w:hAnsi="Times New Roman" w:eastAsia="Times New Roman" w:cs="Times New Roman"/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1/00</w:t>
            </w:r>
            <w:r>
              <w:rPr>
                <w:spacing w:val="-2"/>
              </w:rPr>
              <w:t>；波导管入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H01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P</w:t>
            </w:r>
            <w:r>
              <w:rPr>
                <w:spacing w:val="-3"/>
              </w:rPr>
              <w:t>）</w:t>
            </w:r>
          </w:p>
        </w:tc>
      </w:tr>
      <w:tr>
        <w:trPr>
          <w:trHeight w:val="941" w:hRule="atLeast"/>
        </w:trPr>
        <w:tc>
          <w:tcPr>
            <w:tcW w:w="762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6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  <w:position w:val="1"/>
              </w:rPr>
              <w:t>35</w:t>
            </w:r>
          </w:p>
        </w:tc>
        <w:tc>
          <w:tcPr>
            <w:tcW w:w="140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414"/>
              <w:spacing w:before="6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  <w:position w:val="2"/>
              </w:rPr>
              <w:t>G01D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15" w:right="106" w:firstLine="11"/>
              <w:spacing w:before="41" w:line="228" w:lineRule="auto"/>
              <w:jc w:val="both"/>
              <w:rPr/>
            </w:pPr>
            <w:r>
              <w:rPr>
                <w:spacing w:val="-2"/>
              </w:rPr>
              <w:t>非专用于特定变量的测量；不包含在其他单</w:t>
            </w:r>
            <w:r>
              <w:rPr>
                <w:spacing w:val="-3"/>
              </w:rPr>
              <w:t>独小类中的测量两</w:t>
            </w:r>
            <w:r>
              <w:rPr>
                <w:spacing w:val="-2"/>
              </w:rPr>
              <w:t>个或多个变量的装置；计费设备；非专用于特定变量的传输或</w:t>
            </w:r>
            <w:r>
              <w:rPr>
                <w:spacing w:val="-1"/>
              </w:rPr>
              <w:t>转换装置；未列入其他类目的测量或测试</w:t>
            </w:r>
          </w:p>
        </w:tc>
      </w:tr>
      <w:tr>
        <w:trPr>
          <w:trHeight w:val="631" w:hRule="atLeast"/>
        </w:trPr>
        <w:tc>
          <w:tcPr>
            <w:tcW w:w="762" w:type="dxa"/>
            <w:vAlign w:val="top"/>
          </w:tcPr>
          <w:p>
            <w:pPr>
              <w:ind w:left="268"/>
              <w:spacing w:before="160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  <w:position w:val="1"/>
              </w:rPr>
              <w:t>36</w:t>
            </w:r>
          </w:p>
        </w:tc>
        <w:tc>
          <w:tcPr>
            <w:tcW w:w="1406" w:type="dxa"/>
            <w:vAlign w:val="top"/>
          </w:tcPr>
          <w:p>
            <w:pPr>
              <w:ind w:left="410"/>
              <w:spacing w:before="160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H02H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20" w:right="106" w:firstLine="10"/>
              <w:spacing w:before="4" w:line="237" w:lineRule="auto"/>
              <w:rPr/>
            </w:pPr>
            <w:r>
              <w:rPr>
                <w:spacing w:val="-1"/>
              </w:rPr>
              <w:t>紧急保护电路装置（指示或警报意外工作情况的入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G01R</w:t>
            </w:r>
            <w:r>
              <w:rPr>
                <w:rFonts w:ascii="Times New Roman" w:hAnsi="Times New Roman" w:eastAsia="Times New Roman" w:cs="Times New Roman"/>
                <w:spacing w:val="-26"/>
              </w:rPr>
              <w:t xml:space="preserve"> </w:t>
            </w:r>
            <w:r>
              <w:rPr>
                <w:spacing w:val="-1"/>
              </w:rPr>
              <w:t>，例</w:t>
            </w:r>
            <w:r>
              <w:rPr>
                <w:spacing w:val="-3"/>
              </w:rPr>
              <w:t>如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G01R31/00</w:t>
            </w:r>
            <w:r>
              <w:rPr>
                <w:spacing w:val="-3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G08B</w:t>
            </w:r>
            <w:r>
              <w:rPr>
                <w:spacing w:val="-3"/>
              </w:rPr>
              <w:t>；沿线测定故</w:t>
            </w:r>
            <w:r>
              <w:rPr>
                <w:spacing w:val="-4"/>
              </w:rPr>
              <w:t>障位置入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G01R31/08</w:t>
            </w:r>
            <w:r>
              <w:rPr>
                <w:spacing w:val="-4"/>
              </w:rPr>
              <w:t>；紧急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"/>
          <w:pgSz w:w="11906" w:h="16839"/>
          <w:pgMar w:top="1431" w:right="1481" w:bottom="1596" w:left="1594" w:header="0" w:footer="122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25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6657"/>
      </w:tblGrid>
      <w:tr>
        <w:trPr>
          <w:trHeight w:val="63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197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36" w:right="107" w:hanging="128"/>
              <w:spacing w:before="39" w:line="224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>
                <w:b/>
                <w:bCs/>
                <w:spacing w:val="-8"/>
              </w:rPr>
              <w:t>（小类）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3103"/>
              <w:spacing w:before="197" w:line="224" w:lineRule="auto"/>
              <w:rPr/>
            </w:pPr>
            <w:r>
              <w:rPr>
                <w:b/>
                <w:bCs/>
                <w:spacing w:val="-12"/>
              </w:rPr>
              <w:t>类名</w:t>
            </w:r>
          </w:p>
        </w:tc>
      </w:tr>
      <w:tr>
        <w:trPr>
          <w:trHeight w:val="572" w:hRule="atLeast"/>
        </w:trPr>
        <w:tc>
          <w:tcPr>
            <w:tcW w:w="7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10"/>
              <w:spacing w:before="1" w:line="357" w:lineRule="exact"/>
              <w:rPr/>
            </w:pPr>
            <w:r>
              <w:rPr>
                <w:spacing w:val="-2"/>
                <w:position w:val="2"/>
              </w:rPr>
              <w:t>保护装置入</w:t>
            </w:r>
            <w:r>
              <w:rPr>
                <w:spacing w:val="-49"/>
                <w:position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</w:rPr>
              <w:t>H01H</w:t>
            </w:r>
            <w:r>
              <w:rPr>
                <w:spacing w:val="-2"/>
                <w:position w:val="2"/>
              </w:rPr>
              <w:t>）</w:t>
            </w:r>
          </w:p>
        </w:tc>
      </w:tr>
      <w:tr>
        <w:trPr>
          <w:trHeight w:val="940" w:hRule="atLeast"/>
        </w:trPr>
        <w:tc>
          <w:tcPr>
            <w:tcW w:w="762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6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  <w:position w:val="2"/>
              </w:rPr>
              <w:t>37</w:t>
            </w:r>
          </w:p>
        </w:tc>
        <w:tc>
          <w:tcPr>
            <w:tcW w:w="140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414"/>
              <w:spacing w:before="6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  <w:position w:val="2"/>
              </w:rPr>
              <w:t>G01V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14" w:right="106" w:hanging="3"/>
              <w:spacing w:before="36" w:line="229" w:lineRule="auto"/>
              <w:jc w:val="both"/>
              <w:rPr/>
            </w:pPr>
            <w:r>
              <w:rPr>
                <w:spacing w:val="-2"/>
              </w:rPr>
              <w:t>地球物理；重力测量；物质或物体的探测；示踪物（用于指示</w:t>
            </w:r>
            <w:r>
              <w:rPr>
                <w:spacing w:val="-2"/>
              </w:rPr>
              <w:t>因事故被掩埋的人的位置，例如，被雪掩埋的人的位置的装置</w:t>
            </w:r>
            <w:r>
              <w:rPr>
                <w:spacing w:val="-3"/>
              </w:rPr>
              <w:t>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A63B29/02</w:t>
            </w:r>
            <w:r>
              <w:rPr>
                <w:spacing w:val="-3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27"/>
              </w:rPr>
              <w:t xml:space="preserve"> </w:t>
            </w:r>
            <w:r>
              <w:rPr>
                <w:spacing w:val="-3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6</w:t>
            </w:r>
            <w:r>
              <w:rPr>
                <w:spacing w:val="-3"/>
              </w:rPr>
              <w:t>〕</w:t>
            </w:r>
          </w:p>
        </w:tc>
      </w:tr>
      <w:tr>
        <w:trPr>
          <w:trHeight w:val="628" w:hRule="atLeast"/>
        </w:trPr>
        <w:tc>
          <w:tcPr>
            <w:tcW w:w="762" w:type="dxa"/>
            <w:vAlign w:val="top"/>
          </w:tcPr>
          <w:p>
            <w:pPr>
              <w:ind w:left="268"/>
              <w:spacing w:before="157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  <w:position w:val="1"/>
              </w:rPr>
              <w:t>38</w:t>
            </w:r>
          </w:p>
        </w:tc>
        <w:tc>
          <w:tcPr>
            <w:tcW w:w="1406" w:type="dxa"/>
            <w:vAlign w:val="top"/>
          </w:tcPr>
          <w:p>
            <w:pPr>
              <w:ind w:left="414"/>
              <w:spacing w:before="157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2"/>
              </w:rPr>
              <w:t>G01K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20" w:right="106" w:firstLine="5"/>
              <w:spacing w:before="38" w:line="223" w:lineRule="auto"/>
              <w:rPr/>
            </w:pPr>
            <w:r>
              <w:rPr>
                <w:spacing w:val="-2"/>
              </w:rPr>
              <w:t>温度测量；热量测量；未列入其他类目的热</w:t>
            </w:r>
            <w:r>
              <w:rPr>
                <w:spacing w:val="-3"/>
              </w:rPr>
              <w:t>敏元件（辐射高温</w:t>
            </w:r>
            <w:r>
              <w:rPr>
                <w:spacing w:val="-2"/>
              </w:rPr>
              <w:t>测定法入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G01J5/00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940" w:hRule="atLeast"/>
        </w:trPr>
        <w:tc>
          <w:tcPr>
            <w:tcW w:w="762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69" w:line="314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  <w:position w:val="2"/>
              </w:rPr>
              <w:t>39</w:t>
            </w:r>
          </w:p>
        </w:tc>
        <w:tc>
          <w:tcPr>
            <w:tcW w:w="140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410"/>
              <w:spacing w:before="69" w:line="314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2"/>
              </w:rPr>
              <w:t>H01G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09" w:right="106" w:firstLine="31"/>
              <w:spacing w:before="40" w:line="228" w:lineRule="auto"/>
              <w:jc w:val="both"/>
              <w:rPr/>
            </w:pPr>
            <w:r>
              <w:rPr>
                <w:spacing w:val="-3"/>
              </w:rPr>
              <w:t>电容器；电解型的电容器、整流器、检波器、开关器件、光敏</w:t>
            </w:r>
            <w:r>
              <w:rPr>
                <w:spacing w:val="-2"/>
              </w:rPr>
              <w:t>器件或热敏器件（</w:t>
            </w:r>
            <w:r>
              <w:rPr>
                <w:spacing w:val="-29"/>
              </w:rPr>
              <w:t xml:space="preserve"> </w:t>
            </w:r>
            <w:r>
              <w:rPr>
                <w:spacing w:val="-2"/>
              </w:rPr>
              <w:t>电介质专用材料的选择入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H01B3/00</w:t>
            </w:r>
            <w:r>
              <w:rPr>
                <w:spacing w:val="-2"/>
              </w:rPr>
              <w:t>；</w:t>
            </w:r>
            <w:r>
              <w:rPr>
                <w:spacing w:val="-67"/>
              </w:rPr>
              <w:t xml:space="preserve"> </w:t>
            </w:r>
            <w:r>
              <w:rPr>
                <w:spacing w:val="-2"/>
              </w:rPr>
              <w:t>电位</w:t>
            </w:r>
            <w:r>
              <w:rPr>
                <w:spacing w:val="-1"/>
              </w:rPr>
              <w:t>跃迁或表面阻挡层的电容器入</w:t>
            </w:r>
            <w:r>
              <w:rPr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H01L29/00</w:t>
            </w:r>
            <w:r>
              <w:rPr>
                <w:spacing w:val="-1"/>
              </w:rPr>
              <w:t>）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ind w:left="262"/>
              <w:spacing w:before="161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40</w:t>
            </w:r>
          </w:p>
        </w:tc>
        <w:tc>
          <w:tcPr>
            <w:tcW w:w="1406" w:type="dxa"/>
            <w:vAlign w:val="top"/>
          </w:tcPr>
          <w:p>
            <w:pPr>
              <w:ind w:left="450"/>
              <w:spacing w:before="161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2"/>
              </w:rPr>
              <w:t>H01J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20" w:right="54" w:hanging="6"/>
              <w:spacing w:before="5" w:line="236" w:lineRule="auto"/>
              <w:rPr/>
            </w:pPr>
            <w:r>
              <w:rPr>
                <w:spacing w:val="-10"/>
              </w:rPr>
              <w:t>放电管或放电灯（火花隙入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H01T</w:t>
            </w:r>
            <w:r>
              <w:rPr>
                <w:spacing w:val="-10"/>
              </w:rPr>
              <w:t>；消耗电极的弧光灯入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H05B</w:t>
            </w:r>
            <w:r>
              <w:rPr>
                <w:spacing w:val="-10"/>
              </w:rPr>
              <w:t>；</w:t>
            </w:r>
            <w:r>
              <w:rPr>
                <w:spacing w:val="-2"/>
              </w:rPr>
              <w:t>粒子加速器入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H05H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ind w:left="262"/>
              <w:spacing w:before="160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41</w:t>
            </w:r>
          </w:p>
        </w:tc>
        <w:tc>
          <w:tcPr>
            <w:tcW w:w="1406" w:type="dxa"/>
            <w:vAlign w:val="top"/>
          </w:tcPr>
          <w:p>
            <w:pPr>
              <w:ind w:left="421"/>
              <w:spacing w:before="160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2"/>
              </w:rPr>
              <w:t>C08K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20" w:right="117" w:hanging="10"/>
              <w:spacing w:before="41" w:line="222" w:lineRule="auto"/>
              <w:rPr/>
            </w:pPr>
            <w:r>
              <w:rPr>
                <w:spacing w:val="-2"/>
              </w:rPr>
              <w:t>使用无机物或非高分子有机物作为配料（涂料、油墨、</w:t>
            </w:r>
            <w:r>
              <w:rPr>
                <w:spacing w:val="-3"/>
              </w:rPr>
              <w:t>清漆、</w:t>
            </w:r>
            <w:r>
              <w:rPr>
                <w:spacing w:val="-2"/>
              </w:rPr>
              <w:t>染料、抛光剂、黏合剂入</w:t>
            </w:r>
            <w:r>
              <w:rPr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C09</w:t>
            </w:r>
            <w:r>
              <w:rPr>
                <w:spacing w:val="-2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</w:t>
            </w:r>
            <w:r>
              <w:rPr>
                <w:spacing w:val="-2"/>
              </w:rPr>
              <w:t>〕</w:t>
            </w:r>
          </w:p>
        </w:tc>
      </w:tr>
      <w:tr>
        <w:trPr>
          <w:trHeight w:val="572" w:hRule="atLeast"/>
        </w:trPr>
        <w:tc>
          <w:tcPr>
            <w:tcW w:w="762" w:type="dxa"/>
            <w:vAlign w:val="top"/>
          </w:tcPr>
          <w:p>
            <w:pPr>
              <w:ind w:left="262"/>
              <w:spacing w:before="131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42</w:t>
            </w:r>
          </w:p>
        </w:tc>
        <w:tc>
          <w:tcPr>
            <w:tcW w:w="1406" w:type="dxa"/>
            <w:vAlign w:val="top"/>
          </w:tcPr>
          <w:p>
            <w:pPr>
              <w:ind w:left="417"/>
              <w:spacing w:before="131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2"/>
              </w:rPr>
              <w:t>H01C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41"/>
              <w:spacing w:before="168" w:line="216" w:lineRule="auto"/>
              <w:rPr/>
            </w:pPr>
            <w:r>
              <w:rPr>
                <w:spacing w:val="-13"/>
              </w:rPr>
              <w:t>电阻器</w:t>
            </w:r>
          </w:p>
        </w:tc>
      </w:tr>
      <w:tr>
        <w:trPr>
          <w:trHeight w:val="572" w:hRule="atLeast"/>
        </w:trPr>
        <w:tc>
          <w:tcPr>
            <w:tcW w:w="762" w:type="dxa"/>
            <w:vAlign w:val="top"/>
          </w:tcPr>
          <w:p>
            <w:pPr>
              <w:ind w:left="262"/>
              <w:spacing w:before="130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43</w:t>
            </w:r>
          </w:p>
        </w:tc>
        <w:tc>
          <w:tcPr>
            <w:tcW w:w="1406" w:type="dxa"/>
            <w:vAlign w:val="top"/>
          </w:tcPr>
          <w:p>
            <w:pPr>
              <w:ind w:left="422"/>
              <w:spacing w:before="130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H01L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21"/>
              <w:spacing w:before="130" w:line="358" w:lineRule="exact"/>
              <w:rPr/>
            </w:pPr>
            <w:r>
              <w:rPr>
                <w:spacing w:val="-3"/>
                <w:position w:val="2"/>
              </w:rPr>
              <w:t>太阳能</w:t>
            </w:r>
            <w:r>
              <w:rPr>
                <w:rFonts w:ascii="Times New Roman" w:hAnsi="Times New Roman" w:eastAsia="Times New Roman" w:cs="Times New Roman"/>
                <w:spacing w:val="-3"/>
                <w:position w:val="2"/>
              </w:rPr>
              <w:t>/</w:t>
            </w:r>
            <w:r>
              <w:rPr>
                <w:spacing w:val="-3"/>
                <w:position w:val="2"/>
              </w:rPr>
              <w:t>光伏电池</w:t>
            </w:r>
          </w:p>
        </w:tc>
      </w:tr>
      <w:tr>
        <w:trPr>
          <w:trHeight w:val="572" w:hRule="atLeast"/>
        </w:trPr>
        <w:tc>
          <w:tcPr>
            <w:tcW w:w="762" w:type="dxa"/>
            <w:vAlign w:val="top"/>
          </w:tcPr>
          <w:p>
            <w:pPr>
              <w:ind w:left="262"/>
              <w:spacing w:before="131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44</w:t>
            </w:r>
          </w:p>
        </w:tc>
        <w:tc>
          <w:tcPr>
            <w:tcW w:w="1406" w:type="dxa"/>
            <w:vAlign w:val="top"/>
          </w:tcPr>
          <w:p>
            <w:pPr>
              <w:ind w:left="417"/>
              <w:spacing w:before="131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B65H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13"/>
              <w:spacing w:before="168" w:line="215" w:lineRule="auto"/>
              <w:rPr/>
            </w:pPr>
            <w:r>
              <w:rPr>
                <w:spacing w:val="-1"/>
              </w:rPr>
              <w:t>搬运薄的或细丝状材料，如薄板、条材、缆索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ind w:left="262"/>
              <w:spacing w:before="15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45</w:t>
            </w:r>
          </w:p>
        </w:tc>
        <w:tc>
          <w:tcPr>
            <w:tcW w:w="1406" w:type="dxa"/>
            <w:vAlign w:val="top"/>
          </w:tcPr>
          <w:p>
            <w:pPr>
              <w:ind w:left="417"/>
              <w:spacing w:before="15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B21D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15" w:right="106"/>
              <w:spacing w:before="39" w:line="223" w:lineRule="auto"/>
              <w:rPr/>
            </w:pPr>
            <w:r>
              <w:rPr>
                <w:spacing w:val="-13"/>
              </w:rPr>
              <w:t>金属板或管、棒或型材的基本无切削加工或处理；冲压金属（</w:t>
            </w:r>
            <w:r>
              <w:rPr>
                <w:spacing w:val="-47"/>
              </w:rPr>
              <w:t xml:space="preserve"> </w:t>
            </w:r>
            <w:r>
              <w:rPr>
                <w:spacing w:val="-13"/>
              </w:rPr>
              <w:t>线</w:t>
            </w:r>
            <w:r>
              <w:rPr>
                <w:spacing w:val="-2"/>
              </w:rPr>
              <w:t>材的加工或处理入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B21F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1252" w:hRule="atLeast"/>
        </w:trPr>
        <w:tc>
          <w:tcPr>
            <w:tcW w:w="762" w:type="dxa"/>
            <w:vAlign w:val="top"/>
          </w:tcPr>
          <w:p>
            <w:pPr>
              <w:spacing w:line="399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6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46</w:t>
            </w:r>
          </w:p>
        </w:tc>
        <w:tc>
          <w:tcPr>
            <w:tcW w:w="1406" w:type="dxa"/>
            <w:vAlign w:val="top"/>
          </w:tcPr>
          <w:p>
            <w:pPr>
              <w:spacing w:line="399" w:lineRule="auto"/>
              <w:rPr>
                <w:rFonts w:ascii="Arial"/>
                <w:sz w:val="21"/>
              </w:rPr>
            </w:pPr>
            <w:r/>
          </w:p>
          <w:p>
            <w:pPr>
              <w:ind w:left="422"/>
              <w:spacing w:before="6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2"/>
              </w:rPr>
              <w:t>B29C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08" w:right="106" w:firstLine="18"/>
              <w:spacing w:before="40" w:line="231" w:lineRule="auto"/>
              <w:jc w:val="both"/>
              <w:rPr/>
            </w:pPr>
            <w:r>
              <w:rPr>
                <w:spacing w:val="-2"/>
              </w:rPr>
              <w:t>塑料的成型或连接；塑性状态材料的成型，</w:t>
            </w:r>
            <w:r>
              <w:rPr>
                <w:spacing w:val="-3"/>
              </w:rPr>
              <w:t>不包含在其他类目</w:t>
            </w:r>
            <w:r>
              <w:rPr>
                <w:spacing w:val="9"/>
              </w:rPr>
              <w:t>中</w:t>
            </w:r>
            <w:r>
              <w:rPr>
                <w:spacing w:val="-45"/>
              </w:rPr>
              <w:t xml:space="preserve"> </w:t>
            </w:r>
            <w:r>
              <w:rPr>
                <w:spacing w:val="9"/>
              </w:rPr>
              <w:t>的</w:t>
            </w:r>
            <w:r>
              <w:rPr>
                <w:spacing w:val="-67"/>
              </w:rPr>
              <w:t xml:space="preserve"> </w:t>
            </w:r>
            <w:r>
              <w:rPr>
                <w:spacing w:val="9"/>
              </w:rPr>
              <w:t>；</w:t>
            </w:r>
            <w:r>
              <w:rPr>
                <w:spacing w:val="-31"/>
              </w:rPr>
              <w:t xml:space="preserve"> </w:t>
            </w:r>
            <w:r>
              <w:rPr>
                <w:spacing w:val="9"/>
              </w:rPr>
              <w:t>已成</w:t>
            </w:r>
            <w:r>
              <w:rPr>
                <w:spacing w:val="-69"/>
              </w:rPr>
              <w:t xml:space="preserve"> </w:t>
            </w:r>
            <w:r>
              <w:rPr>
                <w:spacing w:val="9"/>
              </w:rPr>
              <w:t>型产品</w:t>
            </w:r>
            <w:r>
              <w:rPr>
                <w:spacing w:val="-59"/>
              </w:rPr>
              <w:t xml:space="preserve"> </w:t>
            </w:r>
            <w:r>
              <w:rPr>
                <w:spacing w:val="9"/>
              </w:rPr>
              <w:t>的后处理，例如修整（</w:t>
            </w:r>
            <w:r>
              <w:rPr>
                <w:spacing w:val="-40"/>
              </w:rPr>
              <w:t xml:space="preserve"> </w:t>
            </w:r>
            <w:r>
              <w:rPr>
                <w:spacing w:val="9"/>
              </w:rPr>
              <w:t>制作预</w:t>
            </w:r>
            <w:r>
              <w:rPr>
                <w:spacing w:val="-69"/>
              </w:rPr>
              <w:t xml:space="preserve"> </w:t>
            </w:r>
            <w:r>
              <w:rPr>
                <w:spacing w:val="9"/>
              </w:rPr>
              <w:t>型件入</w:t>
            </w:r>
            <w:r>
              <w:rPr>
                <w:rFonts w:ascii="Times New Roman" w:hAnsi="Times New Roman" w:eastAsia="Times New Roman" w:cs="Times New Roman"/>
              </w:rPr>
              <w:t>B29B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11/00</w:t>
            </w:r>
            <w:r>
              <w:rPr/>
              <w:t>；通过将原本不相连接的层结合成为各层连在一起</w:t>
            </w:r>
            <w:r>
              <w:rPr>
                <w:spacing w:val="-1"/>
              </w:rPr>
              <w:t>的产品来制造层状产品入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B32B7/00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-1"/>
              </w:rPr>
              <w:t>至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B32B41/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00</w:t>
            </w:r>
            <w:r>
              <w:rPr>
                <w:spacing w:val="-2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</w:t>
            </w:r>
            <w:r>
              <w:rPr>
                <w:spacing w:val="-2"/>
              </w:rPr>
              <w:t>〕</w:t>
            </w:r>
          </w:p>
        </w:tc>
      </w:tr>
      <w:tr>
        <w:trPr>
          <w:trHeight w:val="572" w:hRule="atLeast"/>
        </w:trPr>
        <w:tc>
          <w:tcPr>
            <w:tcW w:w="762" w:type="dxa"/>
            <w:vAlign w:val="top"/>
          </w:tcPr>
          <w:p>
            <w:pPr>
              <w:ind w:left="262"/>
              <w:spacing w:before="133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2"/>
              </w:rPr>
              <w:t>47</w:t>
            </w:r>
          </w:p>
        </w:tc>
        <w:tc>
          <w:tcPr>
            <w:tcW w:w="1406" w:type="dxa"/>
            <w:vAlign w:val="top"/>
          </w:tcPr>
          <w:p>
            <w:pPr>
              <w:ind w:left="407"/>
              <w:spacing w:before="133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  <w:position w:val="1"/>
              </w:rPr>
              <w:t>A61H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16"/>
              <w:spacing w:before="169" w:line="217" w:lineRule="auto"/>
              <w:rPr/>
            </w:pPr>
            <w:r>
              <w:rPr>
                <w:spacing w:val="-3"/>
              </w:rPr>
              <w:t>理疗装置；</w:t>
            </w:r>
          </w:p>
        </w:tc>
      </w:tr>
      <w:tr>
        <w:trPr>
          <w:trHeight w:val="572" w:hRule="atLeast"/>
        </w:trPr>
        <w:tc>
          <w:tcPr>
            <w:tcW w:w="762" w:type="dxa"/>
            <w:vAlign w:val="top"/>
          </w:tcPr>
          <w:p>
            <w:pPr>
              <w:ind w:left="262"/>
              <w:spacing w:before="132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48</w:t>
            </w:r>
          </w:p>
        </w:tc>
        <w:tc>
          <w:tcPr>
            <w:tcW w:w="1406" w:type="dxa"/>
            <w:vAlign w:val="top"/>
          </w:tcPr>
          <w:p>
            <w:pPr>
              <w:ind w:left="422"/>
              <w:spacing w:before="132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2"/>
              </w:rPr>
              <w:t>B02C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28"/>
              <w:spacing w:before="168" w:line="216" w:lineRule="auto"/>
              <w:rPr/>
            </w:pPr>
            <w:r>
              <w:rPr>
                <w:spacing w:val="-3"/>
              </w:rPr>
              <w:t>一般破碎、研磨或粉碎。</w:t>
            </w:r>
          </w:p>
        </w:tc>
      </w:tr>
      <w:tr>
        <w:trPr>
          <w:trHeight w:val="572" w:hRule="atLeast"/>
        </w:trPr>
        <w:tc>
          <w:tcPr>
            <w:tcW w:w="762" w:type="dxa"/>
            <w:vAlign w:val="top"/>
          </w:tcPr>
          <w:p>
            <w:pPr>
              <w:ind w:left="262"/>
              <w:spacing w:before="131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2"/>
              </w:rPr>
              <w:t>49</w:t>
            </w:r>
          </w:p>
        </w:tc>
        <w:tc>
          <w:tcPr>
            <w:tcW w:w="1406" w:type="dxa"/>
            <w:vAlign w:val="top"/>
          </w:tcPr>
          <w:p>
            <w:pPr>
              <w:ind w:left="422"/>
              <w:spacing w:before="131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B05B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23"/>
              <w:spacing w:before="167" w:line="217" w:lineRule="auto"/>
              <w:rPr/>
            </w:pPr>
            <w:r>
              <w:rPr>
                <w:spacing w:val="-2"/>
              </w:rPr>
              <w:t>喷射装置；雾化装置。</w:t>
            </w:r>
          </w:p>
        </w:tc>
      </w:tr>
      <w:tr>
        <w:trPr>
          <w:trHeight w:val="572" w:hRule="atLeast"/>
        </w:trPr>
        <w:tc>
          <w:tcPr>
            <w:tcW w:w="762" w:type="dxa"/>
            <w:vAlign w:val="top"/>
          </w:tcPr>
          <w:p>
            <w:pPr>
              <w:ind w:left="269"/>
              <w:spacing w:before="132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  <w:position w:val="1"/>
              </w:rPr>
              <w:t>50</w:t>
            </w:r>
          </w:p>
        </w:tc>
        <w:tc>
          <w:tcPr>
            <w:tcW w:w="1406" w:type="dxa"/>
            <w:vAlign w:val="top"/>
          </w:tcPr>
          <w:p>
            <w:pPr>
              <w:ind w:left="422"/>
              <w:spacing w:before="132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2"/>
              </w:rPr>
              <w:t>B05C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28"/>
              <w:spacing w:before="169" w:line="215" w:lineRule="auto"/>
              <w:rPr/>
            </w:pPr>
            <w:r>
              <w:rPr>
                <w:spacing w:val="-2"/>
              </w:rPr>
              <w:t>一般对表面涂布流体的装置。</w:t>
            </w:r>
          </w:p>
        </w:tc>
      </w:tr>
      <w:tr>
        <w:trPr>
          <w:trHeight w:val="572" w:hRule="atLeast"/>
        </w:trPr>
        <w:tc>
          <w:tcPr>
            <w:tcW w:w="762" w:type="dxa"/>
            <w:vAlign w:val="top"/>
          </w:tcPr>
          <w:p>
            <w:pPr>
              <w:ind w:left="269"/>
              <w:spacing w:before="131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  <w:position w:val="1"/>
              </w:rPr>
              <w:t>51</w:t>
            </w:r>
          </w:p>
        </w:tc>
        <w:tc>
          <w:tcPr>
            <w:tcW w:w="1406" w:type="dxa"/>
            <w:vAlign w:val="top"/>
          </w:tcPr>
          <w:p>
            <w:pPr>
              <w:ind w:left="422"/>
              <w:spacing w:before="131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2"/>
              </w:rPr>
              <w:t>B07B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13"/>
              <w:spacing w:before="168" w:line="216" w:lineRule="auto"/>
              <w:rPr/>
            </w:pPr>
            <w:r>
              <w:rPr>
                <w:spacing w:val="-1"/>
              </w:rPr>
              <w:t>用细筛、粗筛、筛分或用气流将固体从固体中分离。</w:t>
            </w:r>
          </w:p>
        </w:tc>
      </w:tr>
      <w:tr>
        <w:trPr>
          <w:trHeight w:val="572" w:hRule="atLeast"/>
        </w:trPr>
        <w:tc>
          <w:tcPr>
            <w:tcW w:w="762" w:type="dxa"/>
            <w:vAlign w:val="top"/>
          </w:tcPr>
          <w:p>
            <w:pPr>
              <w:ind w:left="269"/>
              <w:spacing w:before="133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  <w:position w:val="1"/>
              </w:rPr>
              <w:t>52</w:t>
            </w:r>
          </w:p>
        </w:tc>
        <w:tc>
          <w:tcPr>
            <w:tcW w:w="1406" w:type="dxa"/>
            <w:vAlign w:val="top"/>
          </w:tcPr>
          <w:p>
            <w:pPr>
              <w:ind w:left="436"/>
              <w:spacing w:before="133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B23P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13"/>
              <w:spacing w:before="169" w:line="214" w:lineRule="auto"/>
              <w:rPr/>
            </w:pPr>
            <w:r>
              <w:rPr>
                <w:spacing w:val="-1"/>
              </w:rPr>
              <w:t>未包含在其他位置的金属加工；组合加工；万能机床。</w:t>
            </w:r>
          </w:p>
        </w:tc>
      </w:tr>
      <w:tr>
        <w:trPr>
          <w:trHeight w:val="574" w:hRule="atLeast"/>
        </w:trPr>
        <w:tc>
          <w:tcPr>
            <w:tcW w:w="762" w:type="dxa"/>
            <w:vAlign w:val="top"/>
          </w:tcPr>
          <w:p>
            <w:pPr>
              <w:ind w:left="269"/>
              <w:spacing w:before="132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  <w:position w:val="1"/>
              </w:rPr>
              <w:t>53</w:t>
            </w:r>
          </w:p>
        </w:tc>
        <w:tc>
          <w:tcPr>
            <w:tcW w:w="1406" w:type="dxa"/>
            <w:vAlign w:val="top"/>
          </w:tcPr>
          <w:p>
            <w:pPr>
              <w:ind w:left="417"/>
              <w:spacing w:before="132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4"/>
              </w:rPr>
              <w:t>B23Q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11"/>
              <w:spacing w:before="169" w:line="216" w:lineRule="auto"/>
              <w:rPr/>
            </w:pPr>
            <w:r>
              <w:rPr>
                <w:spacing w:val="-1"/>
              </w:rPr>
              <w:t>机床的零件、部件或附件，如仿形装置或控制装置。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"/>
          <w:pgSz w:w="11906" w:h="16839"/>
          <w:pgMar w:top="1431" w:right="1481" w:bottom="1596" w:left="1594" w:header="0" w:footer="123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20"/>
        <w:rPr/>
      </w:pPr>
      <w:r/>
    </w:p>
    <w:p>
      <w:pPr>
        <w:spacing w:before="119"/>
        <w:rPr/>
      </w:pPr>
      <w:r/>
    </w:p>
    <w:tbl>
      <w:tblPr>
        <w:tblStyle w:val="TableNormal"/>
        <w:tblW w:w="8825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6657"/>
      </w:tblGrid>
      <w:tr>
        <w:trPr>
          <w:trHeight w:val="63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197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36" w:right="107" w:hanging="128"/>
              <w:spacing w:before="39" w:line="224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9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>
                <w:b/>
                <w:bCs/>
                <w:spacing w:val="-8"/>
              </w:rPr>
              <w:t>（小类）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3103"/>
              <w:spacing w:before="197" w:line="224" w:lineRule="auto"/>
              <w:rPr/>
            </w:pPr>
            <w:r>
              <w:rPr>
                <w:b/>
                <w:bCs/>
                <w:spacing w:val="-12"/>
              </w:rPr>
              <w:t>类名</w:t>
            </w:r>
          </w:p>
        </w:tc>
      </w:tr>
      <w:tr>
        <w:trPr>
          <w:trHeight w:val="628" w:hRule="atLeast"/>
        </w:trPr>
        <w:tc>
          <w:tcPr>
            <w:tcW w:w="762" w:type="dxa"/>
            <w:vAlign w:val="top"/>
          </w:tcPr>
          <w:p>
            <w:pPr>
              <w:ind w:left="269"/>
              <w:spacing w:before="157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  <w:position w:val="1"/>
              </w:rPr>
              <w:t>54</w:t>
            </w:r>
          </w:p>
        </w:tc>
        <w:tc>
          <w:tcPr>
            <w:tcW w:w="1406" w:type="dxa"/>
            <w:vAlign w:val="top"/>
          </w:tcPr>
          <w:p>
            <w:pPr>
              <w:ind w:left="422"/>
              <w:spacing w:before="157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B25B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41" w:right="106" w:hanging="23"/>
              <w:spacing w:before="38" w:line="223" w:lineRule="auto"/>
              <w:rPr/>
            </w:pPr>
            <w:r>
              <w:rPr>
                <w:spacing w:val="-2"/>
              </w:rPr>
              <w:t>不包含在其他类目中的用于紧固、连接、拆卸或夹持的工具或</w:t>
            </w:r>
            <w:r>
              <w:rPr>
                <w:spacing w:val="-8"/>
              </w:rPr>
              <w:t>台式设备。</w:t>
            </w:r>
          </w:p>
        </w:tc>
      </w:tr>
      <w:tr>
        <w:trPr>
          <w:trHeight w:val="571" w:hRule="atLeast"/>
        </w:trPr>
        <w:tc>
          <w:tcPr>
            <w:tcW w:w="762" w:type="dxa"/>
            <w:vAlign w:val="top"/>
          </w:tcPr>
          <w:p>
            <w:pPr>
              <w:ind w:left="269"/>
              <w:spacing w:before="210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55</w:t>
            </w:r>
          </w:p>
        </w:tc>
        <w:tc>
          <w:tcPr>
            <w:tcW w:w="1406" w:type="dxa"/>
            <w:vAlign w:val="top"/>
          </w:tcPr>
          <w:p>
            <w:pPr>
              <w:ind w:left="417"/>
              <w:spacing w:before="12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B26D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spacing w:before="165" w:line="216" w:lineRule="auto"/>
              <w:jc w:val="right"/>
              <w:rPr/>
            </w:pPr>
            <w:r>
              <w:rPr>
                <w:spacing w:val="-8"/>
              </w:rPr>
              <w:t>切割；用于打孔、冲孔、切割、冲裁或切断的机器的通用零件。</w:t>
            </w:r>
          </w:p>
        </w:tc>
      </w:tr>
      <w:tr>
        <w:trPr>
          <w:trHeight w:val="571" w:hRule="atLeast"/>
        </w:trPr>
        <w:tc>
          <w:tcPr>
            <w:tcW w:w="762" w:type="dxa"/>
            <w:vAlign w:val="top"/>
          </w:tcPr>
          <w:p>
            <w:pPr>
              <w:ind w:left="269"/>
              <w:spacing w:before="12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  <w:position w:val="1"/>
              </w:rPr>
              <w:t>56</w:t>
            </w:r>
          </w:p>
        </w:tc>
        <w:tc>
          <w:tcPr>
            <w:tcW w:w="1406" w:type="dxa"/>
            <w:vAlign w:val="top"/>
          </w:tcPr>
          <w:p>
            <w:pPr>
              <w:ind w:left="422"/>
              <w:spacing w:before="129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B65B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05"/>
              <w:spacing w:before="165" w:line="215" w:lineRule="auto"/>
              <w:rPr/>
            </w:pPr>
            <w:r>
              <w:rPr>
                <w:spacing w:val="-1"/>
              </w:rPr>
              <w:t>包装物件或物料的机械，装置或设备，或方法。</w:t>
            </w:r>
          </w:p>
        </w:tc>
      </w:tr>
      <w:tr>
        <w:trPr>
          <w:trHeight w:val="571" w:hRule="atLeast"/>
        </w:trPr>
        <w:tc>
          <w:tcPr>
            <w:tcW w:w="762" w:type="dxa"/>
            <w:vAlign w:val="top"/>
          </w:tcPr>
          <w:p>
            <w:pPr>
              <w:ind w:left="269"/>
              <w:spacing w:before="212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57</w:t>
            </w:r>
          </w:p>
        </w:tc>
        <w:tc>
          <w:tcPr>
            <w:tcW w:w="1406" w:type="dxa"/>
            <w:vAlign w:val="top"/>
          </w:tcPr>
          <w:p>
            <w:pPr>
              <w:ind w:left="426"/>
              <w:spacing w:before="132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2"/>
              </w:rPr>
              <w:t>C22C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16"/>
              <w:spacing w:before="167" w:line="219" w:lineRule="auto"/>
              <w:rPr/>
            </w:pPr>
            <w:r>
              <w:rPr>
                <w:spacing w:val="-5"/>
              </w:rPr>
              <w:t>合金。</w:t>
            </w:r>
          </w:p>
        </w:tc>
      </w:tr>
      <w:tr>
        <w:trPr>
          <w:trHeight w:val="576" w:hRule="atLeast"/>
        </w:trPr>
        <w:tc>
          <w:tcPr>
            <w:tcW w:w="762" w:type="dxa"/>
            <w:vAlign w:val="top"/>
          </w:tcPr>
          <w:p>
            <w:pPr>
              <w:ind w:left="269"/>
              <w:spacing w:before="132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  <w:position w:val="1"/>
              </w:rPr>
              <w:t>58</w:t>
            </w:r>
          </w:p>
        </w:tc>
        <w:tc>
          <w:tcPr>
            <w:tcW w:w="1406" w:type="dxa"/>
            <w:vAlign w:val="top"/>
          </w:tcPr>
          <w:p>
            <w:pPr>
              <w:ind w:left="426"/>
              <w:spacing w:before="132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  <w:position w:val="2"/>
              </w:rPr>
              <w:t>G06T</w:t>
            </w:r>
          </w:p>
        </w:tc>
        <w:tc>
          <w:tcPr>
            <w:tcW w:w="6657" w:type="dxa"/>
            <w:vAlign w:val="top"/>
          </w:tcPr>
          <w:p>
            <w:pPr>
              <w:pStyle w:val="TableText"/>
              <w:ind w:left="128"/>
              <w:spacing w:before="168" w:line="216" w:lineRule="auto"/>
              <w:rPr/>
            </w:pPr>
            <w:r>
              <w:rPr>
                <w:spacing w:val="-2"/>
              </w:rPr>
              <w:t>一般的图像数据处理或产生。</w:t>
            </w:r>
          </w:p>
        </w:tc>
      </w:tr>
    </w:tbl>
    <w:p>
      <w:pPr>
        <w:spacing w:line="335" w:lineRule="auto"/>
        <w:rPr>
          <w:rFonts w:ascii="Arial"/>
          <w:sz w:val="21"/>
        </w:rPr>
      </w:pPr>
      <w:r/>
    </w:p>
    <w:p>
      <w:pPr>
        <w:ind w:left="9"/>
        <w:spacing w:before="101" w:line="418" w:lineRule="exact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4"/>
          <w:position w:val="1"/>
        </w:rPr>
        <w:t>二、洛迦诺分类号（共</w:t>
      </w:r>
      <w:r>
        <w:rPr>
          <w:rFonts w:ascii="SimHei" w:hAnsi="SimHei" w:eastAsia="SimHei" w:cs="SimHei"/>
          <w:sz w:val="31"/>
          <w:szCs w:val="31"/>
          <w:spacing w:val="-31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  <w:position w:val="1"/>
        </w:rPr>
        <w:t>10 </w:t>
      </w:r>
      <w:r>
        <w:rPr>
          <w:rFonts w:ascii="SimHei" w:hAnsi="SimHei" w:eastAsia="SimHei" w:cs="SimHei"/>
          <w:sz w:val="31"/>
          <w:szCs w:val="31"/>
          <w:spacing w:val="4"/>
          <w:position w:val="1"/>
        </w:rPr>
        <w:t>个）</w:t>
      </w:r>
    </w:p>
    <w:p>
      <w:pPr>
        <w:ind w:left="18"/>
        <w:spacing w:before="175" w:line="228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position w:val="-6"/>
        </w:rPr>
        <w:drawing>
          <wp:inline distT="0" distB="0" distL="0" distR="0">
            <wp:extent cx="143821" cy="224441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3821" cy="22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iTi" w:hAnsi="KaiTi" w:eastAsia="KaiTi" w:cs="KaiTi"/>
          <w:sz w:val="31"/>
          <w:szCs w:val="31"/>
          <w:spacing w:val="22"/>
        </w:rPr>
        <w:t xml:space="preserve"> </w:t>
      </w:r>
      <w:r>
        <w:rPr>
          <w:rFonts w:ascii="KaiTi" w:hAnsi="KaiTi" w:eastAsia="KaiTi" w:cs="KaiTi"/>
          <w:sz w:val="31"/>
          <w:szCs w:val="31"/>
          <w:b/>
          <w:bCs/>
          <w:spacing w:val="6"/>
        </w:rPr>
        <w:t>新能源产业领域</w:t>
      </w:r>
    </w:p>
    <w:p>
      <w:pPr>
        <w:spacing w:line="17" w:lineRule="exact"/>
        <w:rPr/>
      </w:pPr>
      <w:r/>
    </w:p>
    <w:tbl>
      <w:tblPr>
        <w:tblStyle w:val="TableNormal"/>
        <w:tblW w:w="8824" w:type="dxa"/>
        <w:tblInd w:w="1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44"/>
        <w:gridCol w:w="1399"/>
        <w:gridCol w:w="6681"/>
      </w:tblGrid>
      <w:tr>
        <w:trPr>
          <w:trHeight w:val="631" w:hRule="atLeast"/>
        </w:trPr>
        <w:tc>
          <w:tcPr>
            <w:tcW w:w="744" w:type="dxa"/>
            <w:vAlign w:val="top"/>
          </w:tcPr>
          <w:p>
            <w:pPr>
              <w:pStyle w:val="TableText"/>
              <w:ind w:left="144"/>
              <w:spacing w:before="196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399" w:type="dxa"/>
            <w:vAlign w:val="top"/>
          </w:tcPr>
          <w:p>
            <w:pPr>
              <w:pStyle w:val="TableText"/>
              <w:ind w:left="233" w:right="219" w:firstLine="119"/>
              <w:spacing w:before="38" w:line="224" w:lineRule="auto"/>
              <w:rPr/>
            </w:pPr>
            <w:r>
              <w:rPr>
                <w:b/>
                <w:bCs/>
                <w:spacing w:val="-8"/>
              </w:rPr>
              <w:t>洛迦诺</w:t>
            </w:r>
            <w:r>
              <w:rPr>
                <w:b/>
                <w:bCs/>
                <w:spacing w:val="-8"/>
              </w:rPr>
              <w:t>分类小类</w:t>
            </w:r>
          </w:p>
        </w:tc>
        <w:tc>
          <w:tcPr>
            <w:tcW w:w="6681" w:type="dxa"/>
            <w:vAlign w:val="top"/>
          </w:tcPr>
          <w:p>
            <w:pPr>
              <w:pStyle w:val="TableText"/>
              <w:ind w:left="3113"/>
              <w:spacing w:before="196" w:line="224" w:lineRule="auto"/>
              <w:rPr/>
            </w:pPr>
            <w:r>
              <w:rPr>
                <w:b/>
                <w:bCs/>
                <w:spacing w:val="-12"/>
              </w:rPr>
              <w:t>类名</w:t>
            </w:r>
          </w:p>
        </w:tc>
      </w:tr>
      <w:tr>
        <w:trPr>
          <w:trHeight w:val="473" w:hRule="atLeast"/>
        </w:trPr>
        <w:tc>
          <w:tcPr>
            <w:tcW w:w="744" w:type="dxa"/>
            <w:vAlign w:val="top"/>
          </w:tcPr>
          <w:p>
            <w:pPr>
              <w:ind w:left="338"/>
              <w:spacing w:before="78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position w:val="1"/>
              </w:rPr>
              <w:t>1</w:t>
            </w:r>
          </w:p>
        </w:tc>
        <w:tc>
          <w:tcPr>
            <w:tcW w:w="1399" w:type="dxa"/>
            <w:vAlign w:val="top"/>
          </w:tcPr>
          <w:p>
            <w:pPr>
              <w:ind w:left="504"/>
              <w:spacing w:before="78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  <w:position w:val="1"/>
              </w:rPr>
              <w:t>13-01</w:t>
            </w:r>
          </w:p>
        </w:tc>
        <w:tc>
          <w:tcPr>
            <w:tcW w:w="6681" w:type="dxa"/>
            <w:vAlign w:val="top"/>
          </w:tcPr>
          <w:p>
            <w:pPr>
              <w:pStyle w:val="TableText"/>
              <w:ind w:left="2519"/>
              <w:spacing w:before="114" w:line="222" w:lineRule="auto"/>
              <w:rPr/>
            </w:pPr>
            <w:r>
              <w:rPr>
                <w:spacing w:val="-4"/>
              </w:rPr>
              <w:t>发电机和电动机</w:t>
            </w:r>
          </w:p>
        </w:tc>
      </w:tr>
      <w:tr>
        <w:trPr>
          <w:trHeight w:val="472" w:hRule="atLeast"/>
        </w:trPr>
        <w:tc>
          <w:tcPr>
            <w:tcW w:w="744" w:type="dxa"/>
            <w:vAlign w:val="top"/>
          </w:tcPr>
          <w:p>
            <w:pPr>
              <w:ind w:left="315"/>
              <w:spacing w:before="78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position w:val="1"/>
              </w:rPr>
              <w:t>2</w:t>
            </w:r>
          </w:p>
        </w:tc>
        <w:tc>
          <w:tcPr>
            <w:tcW w:w="1399" w:type="dxa"/>
            <w:vAlign w:val="top"/>
          </w:tcPr>
          <w:p>
            <w:pPr>
              <w:ind w:left="504"/>
              <w:spacing w:before="78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  <w:position w:val="1"/>
              </w:rPr>
              <w:t>15-02</w:t>
            </w:r>
          </w:p>
        </w:tc>
        <w:tc>
          <w:tcPr>
            <w:tcW w:w="6681" w:type="dxa"/>
            <w:vAlign w:val="top"/>
          </w:tcPr>
          <w:p>
            <w:pPr>
              <w:pStyle w:val="TableText"/>
              <w:ind w:left="2754"/>
              <w:spacing w:before="113" w:line="222" w:lineRule="auto"/>
              <w:rPr/>
            </w:pPr>
            <w:r>
              <w:rPr>
                <w:spacing w:val="-4"/>
              </w:rPr>
              <w:t>泵和压缩机</w:t>
            </w:r>
          </w:p>
        </w:tc>
      </w:tr>
      <w:tr>
        <w:trPr>
          <w:trHeight w:val="472" w:hRule="atLeast"/>
        </w:trPr>
        <w:tc>
          <w:tcPr>
            <w:tcW w:w="744" w:type="dxa"/>
            <w:vAlign w:val="top"/>
          </w:tcPr>
          <w:p>
            <w:pPr>
              <w:ind w:left="320"/>
              <w:spacing w:before="81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position w:val="1"/>
              </w:rPr>
              <w:t>3</w:t>
            </w:r>
          </w:p>
        </w:tc>
        <w:tc>
          <w:tcPr>
            <w:tcW w:w="1399" w:type="dxa"/>
            <w:vAlign w:val="top"/>
          </w:tcPr>
          <w:p>
            <w:pPr>
              <w:ind w:left="504"/>
              <w:spacing w:before="81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  <w:position w:val="1"/>
              </w:rPr>
              <w:t>13-02</w:t>
            </w:r>
          </w:p>
        </w:tc>
        <w:tc>
          <w:tcPr>
            <w:tcW w:w="6681" w:type="dxa"/>
            <w:vAlign w:val="top"/>
          </w:tcPr>
          <w:p>
            <w:pPr>
              <w:pStyle w:val="TableText"/>
              <w:ind w:left="1459"/>
              <w:spacing w:before="117" w:line="222" w:lineRule="auto"/>
              <w:rPr/>
            </w:pPr>
            <w:r>
              <w:rPr>
                <w:spacing w:val="-3"/>
              </w:rPr>
              <w:t>电力变压器、整流器、电池和蓄电池</w:t>
            </w:r>
          </w:p>
        </w:tc>
      </w:tr>
      <w:tr>
        <w:trPr>
          <w:trHeight w:val="472" w:hRule="atLeast"/>
        </w:trPr>
        <w:tc>
          <w:tcPr>
            <w:tcW w:w="744" w:type="dxa"/>
            <w:vAlign w:val="top"/>
          </w:tcPr>
          <w:p>
            <w:pPr>
              <w:ind w:left="314"/>
              <w:spacing w:before="81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position w:val="1"/>
              </w:rPr>
              <w:t>4</w:t>
            </w:r>
          </w:p>
        </w:tc>
        <w:tc>
          <w:tcPr>
            <w:tcW w:w="1399" w:type="dxa"/>
            <w:vAlign w:val="top"/>
          </w:tcPr>
          <w:p>
            <w:pPr>
              <w:ind w:left="484"/>
              <w:spacing w:before="81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05-06</w:t>
            </w:r>
          </w:p>
        </w:tc>
        <w:tc>
          <w:tcPr>
            <w:tcW w:w="6681" w:type="dxa"/>
            <w:vAlign w:val="top"/>
          </w:tcPr>
          <w:p>
            <w:pPr>
              <w:pStyle w:val="TableText"/>
              <w:ind w:left="2156"/>
              <w:spacing w:before="117" w:line="220" w:lineRule="auto"/>
              <w:rPr/>
            </w:pPr>
            <w:r>
              <w:rPr>
                <w:spacing w:val="-2"/>
              </w:rPr>
              <w:t>人造或天然材料片材类</w:t>
            </w:r>
          </w:p>
        </w:tc>
      </w:tr>
      <w:tr>
        <w:trPr>
          <w:trHeight w:val="473" w:hRule="atLeast"/>
        </w:trPr>
        <w:tc>
          <w:tcPr>
            <w:tcW w:w="744" w:type="dxa"/>
            <w:vAlign w:val="top"/>
          </w:tcPr>
          <w:p>
            <w:pPr>
              <w:ind w:left="322"/>
              <w:spacing w:before="163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99" w:type="dxa"/>
            <w:vAlign w:val="top"/>
          </w:tcPr>
          <w:p>
            <w:pPr>
              <w:ind w:left="504"/>
              <w:spacing w:before="82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  <w:position w:val="1"/>
              </w:rPr>
              <w:t>15-01</w:t>
            </w:r>
          </w:p>
        </w:tc>
        <w:tc>
          <w:tcPr>
            <w:tcW w:w="6681" w:type="dxa"/>
            <w:vAlign w:val="top"/>
          </w:tcPr>
          <w:p>
            <w:pPr>
              <w:pStyle w:val="TableText"/>
              <w:ind w:left="2999"/>
              <w:spacing w:before="118" w:line="222" w:lineRule="auto"/>
              <w:rPr/>
            </w:pPr>
            <w:r>
              <w:rPr>
                <w:spacing w:val="-8"/>
              </w:rPr>
              <w:t>发动机</w:t>
            </w:r>
          </w:p>
        </w:tc>
      </w:tr>
      <w:tr>
        <w:trPr>
          <w:trHeight w:val="473" w:hRule="atLeast"/>
        </w:trPr>
        <w:tc>
          <w:tcPr>
            <w:tcW w:w="744" w:type="dxa"/>
            <w:vAlign w:val="top"/>
          </w:tcPr>
          <w:p>
            <w:pPr>
              <w:ind w:left="320"/>
              <w:spacing w:before="82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position w:val="1"/>
              </w:rPr>
              <w:t>6</w:t>
            </w:r>
          </w:p>
        </w:tc>
        <w:tc>
          <w:tcPr>
            <w:tcW w:w="1399" w:type="dxa"/>
            <w:vAlign w:val="top"/>
          </w:tcPr>
          <w:p>
            <w:pPr>
              <w:ind w:left="504"/>
              <w:spacing w:before="82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  <w:position w:val="1"/>
              </w:rPr>
              <w:t>13-03</w:t>
            </w:r>
          </w:p>
        </w:tc>
        <w:tc>
          <w:tcPr>
            <w:tcW w:w="6681" w:type="dxa"/>
            <w:vAlign w:val="top"/>
          </w:tcPr>
          <w:p>
            <w:pPr>
              <w:pStyle w:val="TableText"/>
              <w:ind w:left="2276"/>
              <w:spacing w:before="116" w:line="222" w:lineRule="auto"/>
              <w:rPr/>
            </w:pPr>
            <w:r>
              <w:rPr>
                <w:spacing w:val="-3"/>
              </w:rPr>
              <w:t>配电和电力控制设备</w:t>
            </w:r>
          </w:p>
        </w:tc>
      </w:tr>
      <w:tr>
        <w:trPr>
          <w:trHeight w:val="472" w:hRule="atLeast"/>
        </w:trPr>
        <w:tc>
          <w:tcPr>
            <w:tcW w:w="744" w:type="dxa"/>
            <w:vAlign w:val="top"/>
          </w:tcPr>
          <w:p>
            <w:pPr>
              <w:ind w:left="319"/>
              <w:spacing w:before="162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399" w:type="dxa"/>
            <w:vAlign w:val="top"/>
          </w:tcPr>
          <w:p>
            <w:pPr>
              <w:ind w:left="504"/>
              <w:spacing w:before="81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  <w:position w:val="1"/>
              </w:rPr>
              <w:t>12-16</w:t>
            </w:r>
          </w:p>
        </w:tc>
        <w:tc>
          <w:tcPr>
            <w:tcW w:w="6681" w:type="dxa"/>
            <w:vAlign w:val="top"/>
          </w:tcPr>
          <w:p>
            <w:pPr>
              <w:pStyle w:val="TableText"/>
              <w:ind w:left="1314"/>
              <w:spacing w:before="117" w:line="219" w:lineRule="auto"/>
              <w:rPr/>
            </w:pPr>
            <w:r>
              <w:rPr>
                <w:spacing w:val="-2"/>
              </w:rPr>
              <w:t>其他类未包括的车辆零件、装置和附件</w:t>
            </w:r>
          </w:p>
        </w:tc>
      </w:tr>
      <w:tr>
        <w:trPr>
          <w:trHeight w:val="473" w:hRule="atLeast"/>
        </w:trPr>
        <w:tc>
          <w:tcPr>
            <w:tcW w:w="744" w:type="dxa"/>
            <w:vAlign w:val="top"/>
          </w:tcPr>
          <w:p>
            <w:pPr>
              <w:ind w:left="325"/>
              <w:spacing w:before="82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position w:val="1"/>
              </w:rPr>
              <w:t>8</w:t>
            </w:r>
          </w:p>
        </w:tc>
        <w:tc>
          <w:tcPr>
            <w:tcW w:w="1399" w:type="dxa"/>
            <w:vAlign w:val="top"/>
          </w:tcPr>
          <w:p>
            <w:pPr>
              <w:ind w:left="504"/>
              <w:spacing w:before="82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  <w:position w:val="1"/>
              </w:rPr>
              <w:t>10-05</w:t>
            </w:r>
          </w:p>
        </w:tc>
        <w:tc>
          <w:tcPr>
            <w:tcW w:w="6681" w:type="dxa"/>
            <w:vAlign w:val="top"/>
          </w:tcPr>
          <w:p>
            <w:pPr>
              <w:pStyle w:val="TableText"/>
              <w:ind w:left="1314"/>
              <w:spacing w:before="117" w:line="220" w:lineRule="auto"/>
              <w:rPr/>
            </w:pPr>
            <w:r>
              <w:rPr>
                <w:spacing w:val="-2"/>
              </w:rPr>
              <w:t>检测、安全和试验用仪器、设备和装置</w:t>
            </w:r>
          </w:p>
        </w:tc>
      </w:tr>
      <w:tr>
        <w:trPr>
          <w:trHeight w:val="473" w:hRule="atLeast"/>
        </w:trPr>
        <w:tc>
          <w:tcPr>
            <w:tcW w:w="744" w:type="dxa"/>
            <w:vAlign w:val="top"/>
          </w:tcPr>
          <w:p>
            <w:pPr>
              <w:ind w:left="320"/>
              <w:spacing w:before="84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position w:val="2"/>
              </w:rPr>
              <w:t>9</w:t>
            </w:r>
          </w:p>
        </w:tc>
        <w:tc>
          <w:tcPr>
            <w:tcW w:w="1399" w:type="dxa"/>
            <w:vAlign w:val="top"/>
          </w:tcPr>
          <w:p>
            <w:pPr>
              <w:ind w:left="504"/>
              <w:spacing w:before="84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  <w:position w:val="1"/>
              </w:rPr>
              <w:t>12-08</w:t>
            </w:r>
          </w:p>
        </w:tc>
        <w:tc>
          <w:tcPr>
            <w:tcW w:w="6681" w:type="dxa"/>
            <w:vAlign w:val="top"/>
          </w:tcPr>
          <w:p>
            <w:pPr>
              <w:pStyle w:val="TableText"/>
              <w:ind w:left="2156"/>
              <w:spacing w:before="120" w:line="219" w:lineRule="auto"/>
              <w:rPr/>
            </w:pPr>
            <w:r>
              <w:rPr>
                <w:spacing w:val="-2"/>
              </w:rPr>
              <w:t>汽车、公共汽车和货车</w:t>
            </w:r>
          </w:p>
        </w:tc>
      </w:tr>
      <w:tr>
        <w:trPr>
          <w:trHeight w:val="477" w:hRule="atLeast"/>
        </w:trPr>
        <w:tc>
          <w:tcPr>
            <w:tcW w:w="744" w:type="dxa"/>
            <w:vAlign w:val="top"/>
          </w:tcPr>
          <w:p>
            <w:pPr>
              <w:ind w:left="278"/>
              <w:spacing w:before="83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  <w:position w:val="1"/>
              </w:rPr>
              <w:t>10</w:t>
            </w:r>
          </w:p>
        </w:tc>
        <w:tc>
          <w:tcPr>
            <w:tcW w:w="1399" w:type="dxa"/>
            <w:vAlign w:val="top"/>
          </w:tcPr>
          <w:p>
            <w:pPr>
              <w:ind w:left="504"/>
              <w:spacing w:before="83" w:line="31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  <w:position w:val="1"/>
              </w:rPr>
              <w:t>13-04</w:t>
            </w:r>
          </w:p>
        </w:tc>
        <w:tc>
          <w:tcPr>
            <w:tcW w:w="6681" w:type="dxa"/>
            <w:vAlign w:val="top"/>
          </w:tcPr>
          <w:p>
            <w:pPr>
              <w:pStyle w:val="TableText"/>
              <w:ind w:left="2754"/>
              <w:spacing w:before="118" w:line="222" w:lineRule="auto"/>
              <w:rPr/>
            </w:pPr>
            <w:r>
              <w:rPr>
                <w:spacing w:val="-4"/>
              </w:rPr>
              <w:t>太阳能设备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7"/>
      <w:pgSz w:w="11906" w:h="16839"/>
      <w:pgMar w:top="1431" w:right="1467" w:bottom="1596" w:left="1594" w:header="0" w:footer="123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34"/>
      <w:spacing w:before="1" w:line="235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3"/>
      </w:rPr>
      <w:t>—</w:t>
    </w:r>
    <w:r>
      <w:rPr>
        <w:rFonts w:ascii="SimSun" w:hAnsi="SimSun" w:eastAsia="SimSun" w:cs="SimSun"/>
        <w:sz w:val="28"/>
        <w:szCs w:val="28"/>
        <w:spacing w:val="30"/>
      </w:rPr>
      <w:t xml:space="preserve"> </w:t>
    </w:r>
    <w:r>
      <w:rPr>
        <w:rFonts w:ascii="SimSun" w:hAnsi="SimSun" w:eastAsia="SimSun" w:cs="SimSun"/>
        <w:sz w:val="28"/>
        <w:szCs w:val="28"/>
        <w:spacing w:val="-13"/>
      </w:rPr>
      <w:t>1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13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34"/>
      <w:spacing w:before="1" w:line="235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8"/>
      </w:rPr>
      <w:t>—</w:t>
    </w:r>
    <w:r>
      <w:rPr>
        <w:rFonts w:ascii="SimSun" w:hAnsi="SimSun" w:eastAsia="SimSun" w:cs="SimSun"/>
        <w:sz w:val="28"/>
        <w:szCs w:val="28"/>
        <w:spacing w:val="14"/>
      </w:rPr>
      <w:t xml:space="preserve"> </w:t>
    </w:r>
    <w:r>
      <w:rPr>
        <w:rFonts w:ascii="SimSun" w:hAnsi="SimSun" w:eastAsia="SimSun" w:cs="SimSun"/>
        <w:sz w:val="28"/>
        <w:szCs w:val="28"/>
        <w:spacing w:val="-8"/>
      </w:rPr>
      <w:t>2</w:t>
    </w:r>
    <w:r>
      <w:rPr>
        <w:rFonts w:ascii="SimSun" w:hAnsi="SimSun" w:eastAsia="SimSun" w:cs="SimSun"/>
        <w:sz w:val="28"/>
        <w:szCs w:val="28"/>
        <w:spacing w:val="7"/>
      </w:rPr>
      <w:t xml:space="preserve"> </w:t>
    </w:r>
    <w:r>
      <w:rPr>
        <w:rFonts w:ascii="SimSun" w:hAnsi="SimSun" w:eastAsia="SimSun" w:cs="SimSun"/>
        <w:sz w:val="28"/>
        <w:szCs w:val="28"/>
        <w:spacing w:val="-8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34"/>
      <w:spacing w:line="234" w:lineRule="auto"/>
      <w:rPr/>
    </w:pPr>
    <w:r>
      <w:rPr>
        <w:spacing w:val="-8"/>
      </w:rPr>
      <w:t>—</w:t>
    </w:r>
    <w:r>
      <w:rPr>
        <w:spacing w:val="15"/>
      </w:rPr>
      <w:t xml:space="preserve"> </w:t>
    </w:r>
    <w:r>
      <w:rPr>
        <w:spacing w:val="-8"/>
      </w:rPr>
      <w:t>3</w:t>
    </w:r>
    <w:r>
      <w:rPr>
        <w:spacing w:val="6"/>
      </w:rPr>
      <w:t xml:space="preserve"> </w:t>
    </w:r>
    <w:r>
      <w:rPr>
        <w:spacing w:val="-8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34"/>
      <w:spacing w:before="1" w:line="235" w:lineRule="auto"/>
      <w:rPr/>
    </w:pPr>
    <w:r>
      <w:rPr>
        <w:spacing w:val="-6"/>
      </w:rPr>
      <w:t>—</w:t>
    </w:r>
    <w:r>
      <w:rPr>
        <w:spacing w:val="8"/>
      </w:rPr>
      <w:t xml:space="preserve"> </w:t>
    </w:r>
    <w:r>
      <w:rPr>
        <w:spacing w:val="-6"/>
      </w:rPr>
      <w:t>4</w:t>
    </w:r>
    <w:r>
      <w:rPr>
        <w:spacing w:val="7"/>
      </w:rPr>
      <w:t xml:space="preserve"> </w:t>
    </w:r>
    <w:r>
      <w:rPr>
        <w:spacing w:val="-6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34"/>
      <w:spacing w:line="234" w:lineRule="auto"/>
      <w:rPr/>
    </w:pPr>
    <w:r>
      <w:rPr>
        <w:spacing w:val="-8"/>
      </w:rPr>
      <w:t>—</w:t>
    </w:r>
    <w:r>
      <w:rPr>
        <w:spacing w:val="15"/>
      </w:rPr>
      <w:t xml:space="preserve"> </w:t>
    </w:r>
    <w:r>
      <w:rPr>
        <w:spacing w:val="-8"/>
      </w:rPr>
      <w:t>5</w:t>
    </w:r>
    <w:r>
      <w:rPr>
        <w:spacing w:val="6"/>
      </w:rPr>
      <w:t xml:space="preserve"> </w:t>
    </w:r>
    <w:r>
      <w:rPr>
        <w:spacing w:val="-8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934"/>
      <w:spacing w:line="234" w:lineRule="auto"/>
      <w:rPr/>
    </w:pPr>
    <w:r>
      <w:rPr>
        <w:spacing w:val="-7"/>
      </w:rPr>
      <w:t>—</w:t>
    </w:r>
    <w:r>
      <w:rPr>
        <w:spacing w:val="12"/>
      </w:rPr>
      <w:t xml:space="preserve"> </w:t>
    </w:r>
    <w:r>
      <w:rPr>
        <w:spacing w:val="-7"/>
      </w:rPr>
      <w:t>6</w:t>
    </w:r>
    <w:r>
      <w:rPr>
        <w:spacing w:val="6"/>
      </w:rPr>
      <w:t xml:space="preserve"> </w:t>
    </w:r>
    <w:r>
      <w:rPr>
        <w:spacing w:val="-7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4"/>
      <w:szCs w:val="24"/>
      <w:lang w:val="en-US" w:eastAsia="en-US" w:bidi="ar-SA"/>
    </w:r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settings" Target="settings.xml"/><Relationship Id="rId8" Type="http://schemas.openxmlformats.org/officeDocument/2006/relationships/image" Target="media/image2.png"/><Relationship Id="rId7" Type="http://schemas.openxmlformats.org/officeDocument/2006/relationships/footer" Target="footer6.xml"/><Relationship Id="rId6" Type="http://schemas.openxmlformats.org/officeDocument/2006/relationships/footer" Target="footer5.xml"/><Relationship Id="rId5" Type="http://schemas.openxmlformats.org/officeDocument/2006/relationships/footer" Target="footer4.xml"/><Relationship Id="rId4" Type="http://schemas.openxmlformats.org/officeDocument/2006/relationships/footer" Target="footer3.xml"/><Relationship Id="rId3" Type="http://schemas.openxmlformats.org/officeDocument/2006/relationships/footer" Target="footer2.xml"/><Relationship Id="rId2" Type="http://schemas.openxmlformats.org/officeDocument/2006/relationships/image" Target="media/image1.png"/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2024-08-21T09:09:37Z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2026-06-13T22:46:40</vt:filetime>
  </property>
</Properties>
</file>