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10"/>
        <w:numPr>
          <w:numId w:val="0"/>
        </w:numPr>
        <w:spacing w:line="560" w:lineRule="exact"/>
        <w:ind w:leftChars="0"/>
        <w:jc w:val="center"/>
        <w:outlineLvl w:val="0"/>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中国（苏州）知识产权保护中心专利预审服务受理范围</w:t>
      </w:r>
    </w:p>
    <w:p>
      <w:pPr>
        <w:pStyle w:val="10"/>
        <w:numPr>
          <w:numId w:val="0"/>
        </w:numPr>
        <w:spacing w:line="560" w:lineRule="exact"/>
        <w:ind w:leftChars="0"/>
        <w:outlineLvl w:val="0"/>
        <w:rPr>
          <w:rFonts w:ascii="黑体" w:hAnsi="黑体" w:eastAsia="黑体" w:cs="黑体"/>
          <w:b/>
          <w:bCs/>
          <w:kern w:val="0"/>
          <w:sz w:val="32"/>
          <w:szCs w:val="32"/>
        </w:rPr>
      </w:pPr>
      <w:r>
        <w:rPr>
          <w:rFonts w:hint="eastAsia" w:ascii="黑体" w:hAnsi="黑体" w:eastAsia="黑体" w:cs="黑体"/>
          <w:b/>
          <w:bCs/>
          <w:kern w:val="0"/>
          <w:sz w:val="32"/>
          <w:szCs w:val="32"/>
          <w:lang w:val="en-US" w:eastAsia="zh-CN"/>
        </w:rPr>
        <w:t>一、</w:t>
      </w:r>
      <w:r>
        <w:rPr>
          <w:rFonts w:hint="eastAsia" w:ascii="黑体" w:hAnsi="黑体" w:eastAsia="黑体" w:cs="黑体"/>
          <w:b/>
          <w:bCs/>
          <w:kern w:val="0"/>
          <w:sz w:val="32"/>
          <w:szCs w:val="32"/>
        </w:rPr>
        <w:t>IPC分类号（共153个）</w:t>
      </w:r>
    </w:p>
    <w:p>
      <w:pPr>
        <w:pStyle w:val="4"/>
        <w:numPr>
          <w:ilvl w:val="0"/>
          <w:numId w:val="1"/>
        </w:numPr>
        <w:spacing w:line="560" w:lineRule="exact"/>
        <w:jc w:val="left"/>
        <w:outlineLvl w:val="1"/>
        <w:rPr>
          <w:rFonts w:ascii="黑体" w:hAnsi="黑体" w:eastAsia="黑体" w:cs="黑体"/>
          <w:lang w:eastAsia="zh-CN"/>
        </w:rPr>
      </w:pPr>
      <w:r>
        <w:rPr>
          <w:rFonts w:hint="eastAsia" w:ascii="黑体" w:hAnsi="黑体" w:eastAsia="黑体" w:cs="黑体"/>
          <w:lang w:eastAsia="zh-CN"/>
        </w:rPr>
        <w:t>新材料</w:t>
      </w:r>
    </w:p>
    <w:tbl>
      <w:tblPr>
        <w:tblStyle w:val="6"/>
        <w:tblW w:w="8508" w:type="dxa"/>
        <w:tblInd w:w="0" w:type="dxa"/>
        <w:tblLayout w:type="fixed"/>
        <w:tblCellMar>
          <w:top w:w="0" w:type="dxa"/>
          <w:left w:w="108" w:type="dxa"/>
          <w:bottom w:w="0" w:type="dxa"/>
          <w:right w:w="108" w:type="dxa"/>
        </w:tblCellMar>
      </w:tblPr>
      <w:tblGrid>
        <w:gridCol w:w="1243"/>
        <w:gridCol w:w="1560"/>
        <w:gridCol w:w="5705"/>
      </w:tblGrid>
      <w:tr>
        <w:tblPrEx>
          <w:tblLayout w:type="fixed"/>
          <w:tblCellMar>
            <w:top w:w="0" w:type="dxa"/>
            <w:left w:w="108" w:type="dxa"/>
            <w:bottom w:w="0" w:type="dxa"/>
            <w:right w:w="108" w:type="dxa"/>
          </w:tblCellMar>
        </w:tblPrEx>
        <w:trPr>
          <w:cantSplit/>
          <w:trHeight w:val="308" w:hRule="atLeast"/>
          <w:tblHeader/>
        </w:trPr>
        <w:tc>
          <w:tcPr>
            <w:tcW w:w="1243"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1560"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IPC主分类（小类）</w:t>
            </w:r>
          </w:p>
        </w:tc>
        <w:tc>
          <w:tcPr>
            <w:tcW w:w="5705"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分类号说明</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B01D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分离（用湿法从固体中分离固体入B03B、B03D，用风力跳汰机或摇床入B03B，用其他干法入B07；固体物料从固体物料或流体中的磁或静电分离，利用高压电场的分离入B03C；离心机、涡旋装置入B04B；涡旋装置入B04C；用于从含液物料中挤出液体的压力机本身入B30B 9/02）〔5〕</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B01F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混合，例如，溶解、乳化、分散（混合颜料入B44D 3/06）</w:t>
            </w:r>
          </w:p>
        </w:tc>
      </w:tr>
      <w:tr>
        <w:tblPrEx>
          <w:tblLayout w:type="fixed"/>
          <w:tblCellMar>
            <w:top w:w="0" w:type="dxa"/>
            <w:left w:w="108" w:type="dxa"/>
            <w:bottom w:w="0" w:type="dxa"/>
            <w:right w:w="108" w:type="dxa"/>
          </w:tblCellMar>
        </w:tblPrEx>
        <w:trPr>
          <w:cantSplit/>
          <w:trHeight w:val="10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B01J</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化学或物理方法，例如，催化作用或胶体化学；其有关设备〔2〕</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B08B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一般清洁；一般污垢的防除（刷子入A46；家庭或类似清洁装置入A47L；颗粒从液体或气体中分离入B01D；固体分离入B03，B07；一般对表面喷射或涂敷液体或其他流体材料入B05；用于输送机的清洗装置入B65G 45/10；对瓶子同时进行清洗、灌注和封装的入B67C 7/00；一般腐蚀或积垢的防止入C23；街道、永久性道路、海滨或陆地的清洗入E01H；专门用于游泳池或仿海滨浴场浅水池或池子的部件、零件或辅助设备清洁的入E04H 4/16；防止或清除静电荷入H05F）</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B21D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金属板或管、棒或型材的基本无切削加工或处理；冲压金属（线材的加工或处理入B21F）</w:t>
            </w:r>
          </w:p>
        </w:tc>
      </w:tr>
      <w:tr>
        <w:tblPrEx>
          <w:tblLayout w:type="fixed"/>
          <w:tblCellMar>
            <w:top w:w="0" w:type="dxa"/>
            <w:left w:w="108" w:type="dxa"/>
            <w:bottom w:w="0" w:type="dxa"/>
            <w:right w:w="108" w:type="dxa"/>
          </w:tblCellMar>
        </w:tblPrEx>
        <w:trPr>
          <w:cantSplit/>
          <w:trHeight w:val="10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B23K</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钎焊或脱焊；焊接；用钎焊或焊接方法包覆或镀敷；局部加热切割，如火焰切割；用激光束加工（用金属的挤压来制造金属包覆产品入B21C 23/22；用铸造方法制造衬套或包覆层入B22D 19/08；用浸入方式的铸造入B22D 23/04；用烧结金属粉末制造复合层入B22F 7/00；机床上的仿形加工或控制装置入B23Q；不包含在其他类目中的包覆金属或金属包覆材料入C23C；燃烧器入F23D）</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B23P</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金属的其他加工；组合加工；万能机床（仿形加工或控制装置入B23Q）</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B23Q</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机床的零件、部件或附件，如仿形装置或控制装置（在车床或镗床上使用的各类刀具入B23B 27/00）；以特殊零件或部件的结构为特征的通用机床；不针对某一特殊金属加工用途的金属加工机床的组合或联合</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B24B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用于磨削或抛光的机床、装置或工艺（用电蚀入B23H；磨料或有关喷射入B24C；电解浸蚀或电解抛光入C25F 3/00）；磨具磨损表面的修理或调节；磨削，抛光剂或研磨剂的进给</w:t>
            </w:r>
          </w:p>
        </w:tc>
      </w:tr>
      <w:tr>
        <w:tblPrEx>
          <w:tblLayout w:type="fixed"/>
          <w:tblCellMar>
            <w:top w:w="0" w:type="dxa"/>
            <w:left w:w="108" w:type="dxa"/>
            <w:bottom w:w="0" w:type="dxa"/>
            <w:right w:w="108" w:type="dxa"/>
          </w:tblCellMar>
        </w:tblPrEx>
        <w:trPr>
          <w:cantSplit/>
          <w:trHeight w:val="33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B25B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不包含在其他类目中的用于紧固、连接、拆卸或夹持的工具或台式设备</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B25J</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机械手；装有操纵装置的容器（单独采摘水果、蔬菜、啤酒花或类似作物的自动装置入A01D 46/30；外科用的针头操纵器入A61B 17/062；与滚轧机有关的机械手入B21B 39/20；与锻压机有关的机械手入B21J 13/10；夹持轮子或其部件的装置入B60B 30/00；起重机入B66C；用于核反应堆中所用的燃料或其他材料的处理设备入G21C 19/00；机械手与加有防辐射的小室或房间的组合结构入G21F 7/06）〔5〕</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B29C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塑料的成型或连接；塑性状态材料的成型，不包含在其他类目中的；已成型产品的后处理，例如修整（制作预型件入B29B 11/00；通过将原本不相连接的层结合成为各层连在一起的产品来制造层状产品入B32B 7/00至B32B 41/00）〔4〕</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B32B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层状产品，即由扁平的或非扁平的薄层，例如泡沫状的、蜂窝状的薄层构成的产品</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B65B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包装物件或物料的机械，装置或设备，或方法；启封（雪茄烟的捆扎和压紧装置入A24C1/44；适合于由物品或要包扎物件支承的包扎带的固定和拉紧装置入B25B25/00；将瓶子、罐或相似容器的封闭件入B67B1/00-B67B6/00；对瓶子同时进行清洗，灌注和封装入B67C7/00；瓶子，罐，罐头，木桶，桶或类似容器的排空入B67C9/00）</w:t>
            </w:r>
          </w:p>
        </w:tc>
      </w:tr>
      <w:tr>
        <w:tblPrEx>
          <w:tblLayout w:type="fixed"/>
          <w:tblCellMar>
            <w:top w:w="0" w:type="dxa"/>
            <w:left w:w="108" w:type="dxa"/>
            <w:bottom w:w="0" w:type="dxa"/>
            <w:right w:w="108" w:type="dxa"/>
          </w:tblCellMar>
        </w:tblPrEx>
        <w:trPr>
          <w:cantSplit/>
          <w:trHeight w:val="115"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15</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B65D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用于物件或物料贮存或运输的容器，如袋、桶、瓶子、箱盒、罐头、纸板箱、板条箱、圆桶、罐、槽、料仓、运输容器；所用的附件、封口或配件；包装元件；包装件</w:t>
            </w:r>
          </w:p>
        </w:tc>
      </w:tr>
      <w:tr>
        <w:tblPrEx>
          <w:tblLayout w:type="fixed"/>
          <w:tblCellMar>
            <w:top w:w="0" w:type="dxa"/>
            <w:left w:w="108" w:type="dxa"/>
            <w:bottom w:w="0" w:type="dxa"/>
            <w:right w:w="108" w:type="dxa"/>
          </w:tblCellMar>
        </w:tblPrEx>
        <w:trPr>
          <w:cantSplit/>
          <w:trHeight w:val="437"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16</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B65G</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运输或贮存装置，例如装载或倾卸用输送机、车间输送机系统或气动管道输送机（包装用的入B65B；搬运薄的或细丝状材料如纸张或细丝入B65H；起重机入B66C；便携式或可移动的举升或牵引器具，如升降机入B66D；用于装载或卸载目的的升降货物的装置，如叉车，入B66F9/00；不包括在其他类目中的瓶子、罐、罐头、木桶、桶或类似容器的排空入B67C9/00；液体分配或转移入B67D；将压缩的、液化的或固体化的气体灌入容器或从容器内排出入F17C；流体用管道系统入F17D）</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17</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B65H</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搬运薄的或细丝状材料，如薄板、条材、缆索</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18</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B66B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升降机；自动扶梯或移动人行道（用作替代正常出口的救生装置，如支撑在大楼或者其他结构上的楼梯、用于降下人员的营救笼、袋或具有类似功能的设备入A62B 1/02；与飞机配合或装在飞机上用于装卸货物或便于乘客乘降或具有类似功能的设备入B64D 9/00；以用于提升或卷扬机构为特点的制动或停止装置入B66D 5/00）〔4〕</w:t>
            </w:r>
          </w:p>
        </w:tc>
      </w:tr>
      <w:tr>
        <w:tblPrEx>
          <w:tblLayout w:type="fixed"/>
          <w:tblCellMar>
            <w:top w:w="0" w:type="dxa"/>
            <w:left w:w="108" w:type="dxa"/>
            <w:bottom w:w="0" w:type="dxa"/>
            <w:right w:w="108" w:type="dxa"/>
          </w:tblCellMar>
        </w:tblPrEx>
        <w:trPr>
          <w:cantSplit/>
          <w:trHeight w:val="10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19</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C01B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非金属元素；其化合物（制备元素或二氧化碳以外无机化合物的发酵或用酶工艺入C12P3/00；用电解法或电泳法生产非金属元素或无机化合物入C25B）</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20</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C02F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水、废水、污水或污泥的处理（通过在物质中产生化学变化使有害的化学物质无害或降低危害的方法入A62D 3/00；分离、沉淀箱或过滤设备入B01D；有关处理水、废水或污水生产装置的水运容器的特殊设备，例如用于制备淡水入B63J；为防止水的腐蚀用的添加物质入C23F；放射性废液的处理入G21F 9/04）〔3〕</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21</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C04B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石灰；氧化镁；矿渣；水泥；其组合物，例如：砂浆、混凝土或类似的建筑材料；人造石；陶瓷（微晶玻璃陶瓷入C03C 10/00）；耐火材料（难熔金属的合金入C22C）；天然石的处理〔4〕</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22</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C08J</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加工；配料的一般工艺过程；不包括在C08B，C08C，C08F，C08G或C08H小类中的后处理（塑料的加工，如成型入B29）〔2〕</w:t>
            </w:r>
          </w:p>
        </w:tc>
      </w:tr>
      <w:tr>
        <w:tblPrEx>
          <w:tblLayout w:type="fixed"/>
          <w:tblCellMar>
            <w:top w:w="0" w:type="dxa"/>
            <w:left w:w="108" w:type="dxa"/>
            <w:bottom w:w="0" w:type="dxa"/>
            <w:right w:w="108" w:type="dxa"/>
          </w:tblCellMar>
        </w:tblPrEx>
        <w:trPr>
          <w:cantSplit/>
          <w:trHeight w:val="33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23</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C08K</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使用无机物或非高分子有机物作为配料（涂料、油墨、清漆、染料、抛光剂、黏合剂入C09）〔2〕</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24</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C09J</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黏合剂；一般非机械方面的黏合方法；其他类目不包括的黏合方法；黏合剂材料的应用（外科黏合剂入A61L 24/00；在层状产品中用作黏合剂的基于未指明的有机高分子化合物的黏合剂入B32B；使用黏合剂或热熔黏合剂在织物或具有可变形表面的类似物料或物件上贴标签，分别入B65C 5/02，B65C 5/04；动物胶或明胶的制备入C09H ；带黏性的标签、签条或类似识别指示装置入G09F 3/10） 〔5〕</w:t>
            </w:r>
          </w:p>
        </w:tc>
      </w:tr>
      <w:tr>
        <w:tblPrEx>
          <w:tblLayout w:type="fixed"/>
          <w:tblCellMar>
            <w:top w:w="0" w:type="dxa"/>
            <w:left w:w="108" w:type="dxa"/>
            <w:bottom w:w="0" w:type="dxa"/>
            <w:right w:w="108" w:type="dxa"/>
          </w:tblCellMar>
        </w:tblPrEx>
        <w:trPr>
          <w:cantSplit/>
          <w:trHeight w:val="327"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25</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C21D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改变黑色金属的物理结构；黑色或有色金属或合金热处理用的一般设备；通过脱碳、回火或其他处理使金属具有韧性（扩散法渗入处理入C23C；涉及C23大类中的至少一种工艺和本小类中的至少一种工艺的金属材料表面处理入C23F17/00；共晶材料的定向凝固或共析材料的定向分层入C30B）</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26</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C22C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合金（合金的处理入C21D、C22F）</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27</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C23C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对金属材料的镀覆；用金属材料对材料的镀覆；表面扩散法，化学转化或置换法的金属材料表面处理；真空蒸发法、溅射法、离子注入法或化学气相沉积法的一般镀覆（挤压法制造包覆金属的产品入B21C23/22；通过将预先存在的薄层连接到制品上的方法用金属进行镀覆处理的见各有关位置，例如B21D39/00，B23K；玻璃的金属化入C03C；砂浆、混凝土、人造石、陶瓷或天然石的金属化入C04B41/00；金属的搪瓷或向金属上镀覆玻璃体层入c23D；用电解法或电泳法处理金属表面或镀覆金属入C25D；单晶膜生长入C30B；纺织品的金属化入D06M11/83；用局部金属化法装饰纺织品入D06Q1/04）〔4〕</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28</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D06M</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对纤维、纱、线、织物、羽毛或由这些材料制成的纤维制品进行D06类内其他类目所不包括的处理（用机械方法处理织物入D06B至D06J）</w:t>
            </w:r>
          </w:p>
        </w:tc>
      </w:tr>
      <w:tr>
        <w:tblPrEx>
          <w:tblLayout w:type="fixed"/>
          <w:tblCellMar>
            <w:top w:w="0" w:type="dxa"/>
            <w:left w:w="108" w:type="dxa"/>
            <w:bottom w:w="0" w:type="dxa"/>
            <w:right w:w="108" w:type="dxa"/>
          </w:tblCellMar>
        </w:tblPrEx>
        <w:trPr>
          <w:cantSplit/>
          <w:trHeight w:val="327"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29</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F21S</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非便携式照明装置或其系统；专门适用于车辆外部的车辆照明设备〔1，7〕</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30</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F21V</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照明装置或其系统的功能特征或零部件；不包含在其他类目中的照明装置和其他物品的结构组合物〔1，7〕</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31</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F24F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空气调节；空气增湿；通风；空气流作为屏蔽的应用（从尘、烟产生区消除尘、烟入B08B 15/00；从建筑物中排除废气的竖向管道入E04F17/02；，烟道末端入F23L17/02）</w:t>
            </w:r>
          </w:p>
        </w:tc>
      </w:tr>
      <w:tr>
        <w:tblPrEx>
          <w:tblLayout w:type="fixed"/>
          <w:tblCellMar>
            <w:top w:w="0" w:type="dxa"/>
            <w:left w:w="108" w:type="dxa"/>
            <w:bottom w:w="0" w:type="dxa"/>
            <w:right w:w="108" w:type="dxa"/>
          </w:tblCellMar>
        </w:tblPrEx>
        <w:trPr>
          <w:cantSplit/>
          <w:trHeight w:val="10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32</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G01B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长度、厚度或类似线性尺寸的计量；角度的计量；面积的计量；不规则的表面或轮廓的计量</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33</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G01M</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机器或结构部件的静或动平衡的测试；其他类目中不包括的结构部件或设备的测试</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34</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G01N</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借助于测定材料的化学或物理性质来测试或分析材料（除免疫测定法以外包括酶或微生物的测量或试验入C12M，C12Q）</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35</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G01R</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测量电变量；测量磁变量（指示谐振电路的正确调谐入H03J 3/12）</w:t>
            </w:r>
          </w:p>
        </w:tc>
      </w:tr>
      <w:tr>
        <w:tblPrEx>
          <w:tblLayout w:type="fixed"/>
          <w:tblCellMar>
            <w:top w:w="0" w:type="dxa"/>
            <w:left w:w="108" w:type="dxa"/>
            <w:bottom w:w="0" w:type="dxa"/>
            <w:right w:w="108" w:type="dxa"/>
          </w:tblCellMar>
        </w:tblPrEx>
        <w:trPr>
          <w:cantSplit/>
          <w:trHeight w:val="33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36</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G02B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光学元件、系统或仪器（G02F优先；专用于照明装置或系统的光学元件入F21V 1/00至F21V 13/00；测量仪器见G01类的有关小类，例如，光学测距仪入G01C；光学元件、系统或仪器的测试入G01M 11/00；眼镜入G02C；摄影、放映或观看用的装置或设备入G03B；声透镜入G10K 11/30；电子和离子“光学”入H01J；X射线“光学”入H01J，H05G 1/00；结构上与放电管相组合的光学元件入H01J 5/16，H01J 29/89，H01J 37/22；微波“光学”入H01Q；光学元件与电视接收机的组合装置入H04N 5/72；彩色电视系统中的光学系统或装置入H04N 9/00；专门适用于透明或反射区的加热装置入H05B 3/84）〔1，7〕</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37</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G02F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用于控制光的强度、颜色、相位、偏振或方向的器件或装置，例如转换、选通、调制或解调，上述器件或装置的光学操作是通过改变器件或装置的介质的光学性质来修改的；用于上述操作的技术或工艺；变频；非线性光学；光学逻辑元件；光学模拟/数字转换器〔2，4〕</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38</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G05B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一般的控制或调节系统；这种系统的功能单元；用于这种系统或单元的监视或测试装置（应用流体作用的一般流体压力执行器或系统入F15B；阀门本身入F16K；仅按机械特征区分的入G05G；传感元件见相应小类，例如G12B，G01、H01的小类；校正单元见相应的小类，例如H02K）</w:t>
            </w:r>
          </w:p>
        </w:tc>
      </w:tr>
      <w:tr>
        <w:tblPrEx>
          <w:tblLayout w:type="fixed"/>
          <w:tblCellMar>
            <w:top w:w="0" w:type="dxa"/>
            <w:left w:w="108" w:type="dxa"/>
            <w:bottom w:w="0" w:type="dxa"/>
            <w:right w:w="108" w:type="dxa"/>
          </w:tblCellMar>
        </w:tblPrEx>
        <w:trPr>
          <w:cantSplit/>
          <w:trHeight w:val="33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39</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G06F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电数字数据处理（基于特定计算模型的计算机系统入G06N）</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40</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G06K</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数据识别；数据表示；记录载体；记录载体的处理（印刷本身入B41J）</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41</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G06Q</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专门适用于行政、商业、金融、管理、监督或预测目的的数据处理系统或方法；其他类目不包含的专门适用于行政、商业、金融、管理、监督或预测目的的处理系统或方法〔8〕</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42</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G06T</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一般的图像数据处理或产生〔6，2006.01〕</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43</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H01B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电缆；导体；绝缘体；导电、绝缘或介电材料的选择（磁性材料的选择入H01F 1/00；波导管入H01P）</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44</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H01F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磁体；电感；变压器；磁性材料的选择〔2〕</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45</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H01H</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电开关；继电器；选择器；紧急保护装置（接触电缆入H01B7/10；电解式自断续器入H01G9/18；紧急保护电路装置入H02H；无触点电子开关入H03K17/00）</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46</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H01L</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半导体器件；其他类目中不包括的电固体器件（使用半导体器件的测量入G01；一般电阻器入H01C；磁体、电感器、变压器入H01F；一般电容器入H01G；电解型器件入H01G 9/00；电池组、蓄电池入H01M；波导管、谐振器或波导型线路入H01P；线路连接器、汇流器入H01R；受激发射器件入H01S；机电谐振器入H03H；扬声器、送话器、留声机拾音器或类似的声机电传感器入H04R；一般电光源入H05B；印刷电路、混合电路、电设备的外壳或结构零部件、电气元件的组件的制造入H05K；在具有特殊应用的电路中半导体器件的使用见该应用的小类）〔2〕</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47</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H01M</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用于直接转变化学能为电能的方法或装置，例如电池组〔2〕（一般电化学的方法或装置入C25；用于转变光或热为电能的半导体或其他固态器件入H01L，例如H01L 31/00，H01L 35/00，H01L 37/00）〔2〕</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48</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H01R</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导电连接；一组相互绝缘的电连接元件的结构组合；连接装置；集电器（开关，熔断器入H01H；波导型耦合装置入H01P 5/00；供电或配电切换装置入H02B；电线或电缆、光电电线或电缆或电气辅助设备的安装入H02G；与印刷电路电连接或印刷电路之间电连接用的印制装置入H05K）</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49</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H02J</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供电或配电的电路装置或系统；电能存储系统（用于测量X射线、γ射线、微粒子射线或宇宙射线设备的供电电路入G01T 1/175；专用于具有不动件的电子时钟的供电电路入G04G 19/00；用于数字计算机的入G06F 1/18；用于放电管的入H01J 37/248；电能转换用电路或设备，这种电路或设备的控制装置或调整装置入H02M；数个电机的相关控制，原动机/发电机组的控制入H02P；高频电力的控制入H03L；用以传输信息的电力线路或电力网附加用途入H04B）</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50</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H02K</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电机（电动继电器入H01H 53/00；直流或交流电力输入变换为浪涌电力输出入H02M 9/00）</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51</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H04L</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数字信息的传输，例如电报通信（电报和电话通信的公用设备入H04M）〔4〕</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52</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H04N</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图像通信，如电视</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53</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H05K</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印刷电路；电设备的外壳或结构零部件；电气元件组件的制造（其他类目不包括的仪器零部件或其他设备的类似零部件入G12B；薄膜或厚膜电路入H01L 27/01，H01L 27/13；用于对印刷电路或印刷电路之间的电连接的非印刷方法入H01R；用于特殊类型设备的外壳或其结构零部件，见有关小类；仅包括单一工艺的加工方法，例如已列入其他类目的加热、喷射，见有关的类）</w:t>
            </w:r>
          </w:p>
        </w:tc>
      </w:tr>
    </w:tbl>
    <w:p>
      <w:pPr>
        <w:spacing w:line="560" w:lineRule="exact"/>
        <w:outlineLvl w:val="0"/>
        <w:rPr>
          <w:rFonts w:ascii="黑体" w:hAnsi="黑体" w:eastAsia="黑体" w:cs="黑体"/>
          <w:b/>
          <w:bCs/>
          <w:kern w:val="0"/>
          <w:sz w:val="32"/>
          <w:szCs w:val="32"/>
        </w:rPr>
      </w:pPr>
    </w:p>
    <w:p>
      <w:pPr>
        <w:pStyle w:val="4"/>
        <w:numPr>
          <w:ilvl w:val="0"/>
          <w:numId w:val="1"/>
        </w:numPr>
        <w:spacing w:line="560" w:lineRule="exact"/>
        <w:jc w:val="left"/>
        <w:outlineLvl w:val="1"/>
        <w:rPr>
          <w:rFonts w:ascii="黑体" w:hAnsi="黑体" w:eastAsia="黑体" w:cs="黑体"/>
          <w:lang w:eastAsia="zh-CN"/>
        </w:rPr>
      </w:pPr>
      <w:r>
        <w:rPr>
          <w:rFonts w:hint="eastAsia" w:ascii="黑体" w:hAnsi="黑体" w:eastAsia="黑体" w:cs="黑体"/>
          <w:lang w:eastAsia="zh-CN"/>
        </w:rPr>
        <w:t>生物制品制造</w:t>
      </w:r>
    </w:p>
    <w:tbl>
      <w:tblPr>
        <w:tblStyle w:val="6"/>
        <w:tblW w:w="8508" w:type="dxa"/>
        <w:tblInd w:w="0" w:type="dxa"/>
        <w:tblLayout w:type="fixed"/>
        <w:tblCellMar>
          <w:top w:w="0" w:type="dxa"/>
          <w:left w:w="108" w:type="dxa"/>
          <w:bottom w:w="0" w:type="dxa"/>
          <w:right w:w="108" w:type="dxa"/>
        </w:tblCellMar>
      </w:tblPr>
      <w:tblGrid>
        <w:gridCol w:w="1243"/>
        <w:gridCol w:w="1560"/>
        <w:gridCol w:w="5705"/>
      </w:tblGrid>
      <w:tr>
        <w:tblPrEx>
          <w:tblLayout w:type="fixed"/>
          <w:tblCellMar>
            <w:top w:w="0" w:type="dxa"/>
            <w:left w:w="108" w:type="dxa"/>
            <w:bottom w:w="0" w:type="dxa"/>
            <w:right w:w="108" w:type="dxa"/>
          </w:tblCellMar>
        </w:tblPrEx>
        <w:trPr>
          <w:cantSplit/>
          <w:trHeight w:val="308" w:hRule="atLeast"/>
          <w:tblHeader/>
        </w:trPr>
        <w:tc>
          <w:tcPr>
            <w:tcW w:w="1243"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1560"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IPC主分类（小类）</w:t>
            </w:r>
          </w:p>
        </w:tc>
        <w:tc>
          <w:tcPr>
            <w:tcW w:w="5705"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分类号说明</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54</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C07C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无环或碳环化合物（高分子化合物入C08；有机化合物的电解或电泳生产入C25B 3/00，C25B 7/00）</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55</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C07D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杂环化合物（高分子化合物入C08）〔2〕</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56</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 xml:space="preserve">C07F </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含除碳、氢、卤素、氧、氮、硫、硒或碲以外的其他元素的无环，碳环或杂环化合物（含金属的卟啉入C07D 487/22；高分子化合物入C08）</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57</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C07H</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糖类；及其衍生物；核苷；核苷酸；核酸（糖醛酸或糖质酸的衍生物入C07C、C07D；糖醛酸、糖质酸入C07C 59/105，C07C 59/285；氰醇类入C07C 255/16；烯糖类入C07D；未知结构的化合物入C07G；多糖类，有关的衍生物入C08B；有关基因工程的DNA或RNA，载体，例如质粒，或它们的分离、制备或纯化入C12N 15/00；制糖工业入C13）〔2〕</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58</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C07J</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sz w:val="24"/>
                <w:szCs w:val="24"/>
              </w:rPr>
              <w:t>甾族化合物（闭联-甾族化合物入C07C）〔2〕</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59</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C07K</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肽（含有β-内酰胺的肽入C07D；在分子中除了形成本身的肽环外不含有任何其他的肽键的环状二肽，如哌嗪-2，5-二酮入C07D；环肽型麦角生物碱入C07D 519/02；单细胞蛋白质、酶入C12N；获得肽的基因工程方法入C12N 15/00）〔4〕</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60</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C08B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sz w:val="24"/>
                <w:szCs w:val="24"/>
              </w:rPr>
              <w:t>多糖类；其衍生物（含少于6个相互以配糖连接的糖键基团的多糖入C07H；发酵或用酶方法入C12P 19/00；纤维素生产入D21）〔4〕</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61</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C08F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仅用碳-碳不饱和键反应得到的高分子化合物（由低碳烃制造液态烃混合物，例如通过齐聚作用入C10G50/00；发酵或使用酶的方法合成目标化合物或组合物或从外消旋混合物中分离旋光异构体入C12P；含有碳-碳不饱和键的单体接枝聚合到纤维、丝线、纱线、织物或用这些材料制成的纤维制品入D06M14/00）〔2〕</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62</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C08G</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用碳-碳不饱和键以外的反应得到的高分子化合物（发酵或使用酶的方法合成目标化合物或组合物或从外消旋混合物中分离旋光异构体入C12P）〔2〕</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63</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C12M</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酶学或微生物学装置（粪肥的发酵装置入A01C 3/02；人或动物的活体部分的保存入A01N 1/02；啤酒酿造装置入C12C；果汁酒的发酵装置入C12G；制醋装置入C12J 1/10）〔3〕</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64</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C12N</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微生物或酶；其组合物（杀生剂、害虫驱避剂或引诱剂，或含有微生物、病毒、微生物真菌、酶、发酵物的植物生长调节剂，或从微生物或动物材料产生或提取制得的物质入A01N63/00；药品入A61K；肥料入C05F）；繁殖、保藏或维持微生物；变异或遗传工程；培养基（微生物学的试验介质入C12Q1/00）〔3〕</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65</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C12P</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发酵或使用酶的方法合成目标化合物或组合物或从外消旋混合物中分离旋光异构体〔3〕</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66</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C12Q</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包含酶、核酸或微生物的测定或检验方法（免疫检测入G01N33/53）；其所用的组合物或试纸；这种组合物的制备方法；在微生物学方法或酶学方法中的条件反应控制〔3〕</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67</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G01T</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核辐射或X射线辐射的测量（材料的辐射分析，质谱测定法入G01N 23/00用以测定辐射或粒子的存在、强度、密度或能量的管入H01J 47/00）</w:t>
            </w:r>
          </w:p>
        </w:tc>
      </w:tr>
      <w:tr>
        <w:tblPrEx>
          <w:tblLayout w:type="fixed"/>
          <w:tblCellMar>
            <w:top w:w="0" w:type="dxa"/>
            <w:left w:w="108" w:type="dxa"/>
            <w:bottom w:w="0" w:type="dxa"/>
            <w:right w:w="108" w:type="dxa"/>
          </w:tblCellMar>
        </w:tblPrEx>
        <w:trPr>
          <w:cantSplit/>
          <w:trHeight w:val="108"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68</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r>
              <w:rPr>
                <w:rFonts w:hint="eastAsia" w:ascii="仿宋" w:hAnsi="仿宋" w:eastAsia="仿宋"/>
                <w:color w:val="000000"/>
                <w:sz w:val="24"/>
                <w:szCs w:val="24"/>
              </w:rPr>
              <w:t>G16H</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医疗保健信息学，即专门用于处置或处理医疗或健康数据的信息和通信技术〔ICT〕〔2018.01〕</w:t>
            </w:r>
          </w:p>
        </w:tc>
      </w:tr>
    </w:tbl>
    <w:p>
      <w:pPr>
        <w:spacing w:line="560" w:lineRule="exact"/>
        <w:outlineLvl w:val="0"/>
        <w:rPr>
          <w:rFonts w:ascii="黑体" w:hAnsi="黑体" w:eastAsia="黑体" w:cs="黑体"/>
          <w:b/>
          <w:bCs/>
          <w:kern w:val="0"/>
          <w:sz w:val="32"/>
          <w:szCs w:val="32"/>
        </w:rPr>
      </w:pPr>
    </w:p>
    <w:p>
      <w:pPr>
        <w:pStyle w:val="4"/>
        <w:numPr>
          <w:ilvl w:val="0"/>
          <w:numId w:val="1"/>
        </w:numPr>
        <w:spacing w:line="560" w:lineRule="exact"/>
        <w:jc w:val="left"/>
        <w:outlineLvl w:val="1"/>
        <w:rPr>
          <w:rFonts w:ascii="黑体" w:hAnsi="黑体" w:eastAsia="黑体" w:cs="黑体"/>
          <w:lang w:eastAsia="zh-CN"/>
        </w:rPr>
      </w:pPr>
      <w:r>
        <w:rPr>
          <w:rFonts w:hint="eastAsia" w:ascii="黑体" w:hAnsi="黑体" w:eastAsia="黑体" w:cs="黑体"/>
          <w:lang w:eastAsia="zh-CN"/>
        </w:rPr>
        <w:t>数字智能制造</w:t>
      </w:r>
    </w:p>
    <w:tbl>
      <w:tblPr>
        <w:tblStyle w:val="6"/>
        <w:tblW w:w="8508" w:type="dxa"/>
        <w:tblInd w:w="0" w:type="dxa"/>
        <w:tblLayout w:type="fixed"/>
        <w:tblCellMar>
          <w:top w:w="0" w:type="dxa"/>
          <w:left w:w="108" w:type="dxa"/>
          <w:bottom w:w="0" w:type="dxa"/>
          <w:right w:w="108" w:type="dxa"/>
        </w:tblCellMar>
      </w:tblPr>
      <w:tblGrid>
        <w:gridCol w:w="1243"/>
        <w:gridCol w:w="1560"/>
        <w:gridCol w:w="5705"/>
      </w:tblGrid>
      <w:tr>
        <w:tblPrEx>
          <w:tblLayout w:type="fixed"/>
          <w:tblCellMar>
            <w:top w:w="0" w:type="dxa"/>
            <w:left w:w="108" w:type="dxa"/>
            <w:bottom w:w="0" w:type="dxa"/>
            <w:right w:w="108" w:type="dxa"/>
          </w:tblCellMar>
        </w:tblPrEx>
        <w:trPr>
          <w:cantSplit/>
          <w:trHeight w:val="308" w:hRule="atLeast"/>
          <w:tblHeader/>
        </w:trPr>
        <w:tc>
          <w:tcPr>
            <w:tcW w:w="1243"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1560"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IPC主分类（小类）</w:t>
            </w:r>
          </w:p>
        </w:tc>
        <w:tc>
          <w:tcPr>
            <w:tcW w:w="5705"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分类号说明</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69</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A61B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诊断；外科；鉴定</w:t>
            </w:r>
          </w:p>
        </w:tc>
      </w:tr>
      <w:tr>
        <w:tblPrEx>
          <w:tblLayout w:type="fixed"/>
          <w:tblCellMar>
            <w:top w:w="0" w:type="dxa"/>
            <w:left w:w="108" w:type="dxa"/>
            <w:bottom w:w="0" w:type="dxa"/>
            <w:right w:w="108" w:type="dxa"/>
          </w:tblCellMar>
        </w:tblPrEx>
        <w:trPr>
          <w:cantSpli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70</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B26D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切割；用于打孔、冲孔、切割、冲裁或切断的机器的通用零件</w:t>
            </w:r>
          </w:p>
        </w:tc>
      </w:tr>
      <w:tr>
        <w:tblPrEx>
          <w:tblLayout w:type="fixed"/>
          <w:tblCellMar>
            <w:top w:w="0" w:type="dxa"/>
            <w:left w:w="108" w:type="dxa"/>
            <w:bottom w:w="0" w:type="dxa"/>
            <w:right w:w="108" w:type="dxa"/>
          </w:tblCellMar>
        </w:tblPrEx>
        <w:trPr>
          <w:cantSplit/>
          <w:trHeight w:val="10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71</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A47L</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家庭的洗涤或清扫；一般吸尘器</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72</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F26B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从固体材料或制品中消除液体的干燥</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73</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B05C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一般对表面涂布液体或其他流体的装置</w:t>
            </w:r>
          </w:p>
        </w:tc>
      </w:tr>
      <w:tr>
        <w:tblPrEx>
          <w:tblLayout w:type="fixed"/>
          <w:tblCellMar>
            <w:top w:w="0" w:type="dxa"/>
            <w:left w:w="108" w:type="dxa"/>
            <w:bottom w:w="0" w:type="dxa"/>
            <w:right w:w="108" w:type="dxa"/>
          </w:tblCellMar>
        </w:tblPrEx>
        <w:trPr>
          <w:cantSplit/>
          <w:trHeight w:val="10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74</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B05B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喷射装置；雾化装置；喷嘴</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75</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F16K</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阀；龙头；旋塞；致动浮子；通风或充气装置</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76</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B23B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olor w:val="000000"/>
                <w:sz w:val="24"/>
                <w:szCs w:val="24"/>
              </w:rPr>
            </w:pPr>
            <w:r>
              <w:rPr>
                <w:rFonts w:hint="eastAsia" w:ascii="仿宋" w:hAnsi="仿宋" w:eastAsia="仿宋"/>
                <w:color w:val="000000"/>
                <w:sz w:val="24"/>
                <w:szCs w:val="24"/>
              </w:rPr>
              <w:t>车削；镗削</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77</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F16L</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管子；管接头或管件；管子、电缆或护管的支撑；一般的绝热方法</w:t>
            </w:r>
          </w:p>
        </w:tc>
      </w:tr>
      <w:tr>
        <w:tblPrEx>
          <w:tblLayout w:type="fixed"/>
          <w:tblCellMar>
            <w:top w:w="0" w:type="dxa"/>
            <w:left w:w="108" w:type="dxa"/>
            <w:bottom w:w="0" w:type="dxa"/>
            <w:right w:w="108" w:type="dxa"/>
          </w:tblCellMar>
        </w:tblPrEx>
        <w:trPr>
          <w:cantSplit/>
          <w:trHeight w:val="33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78</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B23D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刨削；插削；剪切；拉削；锯；锉削；刮削；其他类目不包括的用切除材料方式对金属加工的类似操作</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79</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F16B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紧固或固定构件或机器零件用的器件，如钉、螺栓、簧环、夹、卡箍或楔；连接件或连接</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80</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B62B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手动车辆，例如手推车或摇篮车；雪橇</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81</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B07C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邮件分拣；单件物品的分选，或适于一件一件地分选的散装材料的分选，如拣选</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82</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B22D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金属铸造；用相同工艺或设备的其他物质的铸造</w:t>
            </w:r>
          </w:p>
        </w:tc>
      </w:tr>
      <w:tr>
        <w:tblPrEx>
          <w:tblLayout w:type="fixed"/>
          <w:tblCellMar>
            <w:top w:w="0" w:type="dxa"/>
            <w:left w:w="108" w:type="dxa"/>
            <w:bottom w:w="0" w:type="dxa"/>
            <w:right w:w="108" w:type="dxa"/>
          </w:tblCellMar>
        </w:tblPrEx>
        <w:trPr>
          <w:cantSplit/>
          <w:trHeight w:val="115"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83</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F16H</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传动装置</w:t>
            </w:r>
          </w:p>
        </w:tc>
      </w:tr>
      <w:tr>
        <w:tblPrEx>
          <w:tblLayout w:type="fixed"/>
          <w:tblCellMar>
            <w:top w:w="0" w:type="dxa"/>
            <w:left w:w="108" w:type="dxa"/>
            <w:bottom w:w="0" w:type="dxa"/>
            <w:right w:w="108" w:type="dxa"/>
          </w:tblCellMar>
        </w:tblPrEx>
        <w:trPr>
          <w:cantSplit/>
          <w:trHeight w:val="437"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84</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F16C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轴；软轴；在挠性护套中传递运动的机械装置；曲轴机构的元件；枢轴；枢轴连接；除传动装置、联轴器、离合器或制动器元件以外的转动工程元件；轴承</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85</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B66C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起重机；用于起重机、绞盘、绞车或滑车的载荷吊挂元件或装置</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86</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B05D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对表面涂布液体或其他流体的一般工艺</w:t>
            </w:r>
          </w:p>
        </w:tc>
      </w:tr>
      <w:tr>
        <w:tblPrEx>
          <w:tblLayout w:type="fixed"/>
          <w:tblCellMar>
            <w:top w:w="0" w:type="dxa"/>
            <w:left w:w="108" w:type="dxa"/>
            <w:bottom w:w="0" w:type="dxa"/>
            <w:right w:w="108" w:type="dxa"/>
          </w:tblCellMar>
        </w:tblPrEx>
        <w:trPr>
          <w:cantSplit/>
          <w:trHeight w:val="10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87</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B30B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一般压力机；不包含在其他类目中的压力机</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88</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D03D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机织织物；织造方法；织机</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89</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B01L</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通用化学或物理实验室设备</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90</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F28D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其他小类中不包括的热交换设备，其中热交换介质不直接接触的；一般贮热装置或设备</w:t>
            </w:r>
          </w:p>
        </w:tc>
      </w:tr>
      <w:tr>
        <w:tblPrEx>
          <w:tblLayout w:type="fixed"/>
          <w:tblCellMar>
            <w:top w:w="0" w:type="dxa"/>
            <w:left w:w="108" w:type="dxa"/>
            <w:bottom w:w="0" w:type="dxa"/>
            <w:right w:w="108" w:type="dxa"/>
          </w:tblCellMar>
        </w:tblPrEx>
        <w:trPr>
          <w:cantSplit/>
          <w:trHeight w:val="33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91</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F15B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一般流体工作系统；流体压力执行机构，如伺服马达；不包含在其他类目中的流体压力系统的零部件</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92</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F25B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制冷机，制冷设备或系统；加热和制冷的联合系统；热泵系统</w:t>
            </w:r>
          </w:p>
        </w:tc>
      </w:tr>
      <w:tr>
        <w:tblPrEx>
          <w:tblLayout w:type="fixed"/>
          <w:tblCellMar>
            <w:top w:w="0" w:type="dxa"/>
            <w:left w:w="108" w:type="dxa"/>
            <w:bottom w:w="0" w:type="dxa"/>
            <w:right w:w="108" w:type="dxa"/>
          </w:tblCellMar>
        </w:tblPrEx>
        <w:trPr>
          <w:cantSplit/>
          <w:trHeight w:val="327"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93</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E05F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使翼扇移到开启或关闭位置的器件；翼扇调节；其他类目未包括而与翼扇功能有关的零件</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94</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B65C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贴标签或签条的机械、装置或方法</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95</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B31B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纸盒、纸板箱、信封或纸袋的制作</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96</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F16D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传送旋转运动的联轴器；离合器；制动器</w:t>
            </w:r>
          </w:p>
        </w:tc>
      </w:tr>
      <w:tr>
        <w:tblPrEx>
          <w:tblLayout w:type="fixed"/>
          <w:tblCellMar>
            <w:top w:w="0" w:type="dxa"/>
            <w:left w:w="108" w:type="dxa"/>
            <w:bottom w:w="0" w:type="dxa"/>
            <w:right w:w="108" w:type="dxa"/>
          </w:tblCellMar>
        </w:tblPrEx>
        <w:trPr>
          <w:cantSplit/>
          <w:trHeight w:val="327"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97</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B22C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铸造造型</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98</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D06F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纺织品的洗涤、干燥、熨烫、压平或打折</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99</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D04B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针织</w:t>
            </w:r>
          </w:p>
        </w:tc>
      </w:tr>
      <w:tr>
        <w:tblPrEx>
          <w:tblLayout w:type="fixed"/>
          <w:tblCellMar>
            <w:top w:w="0" w:type="dxa"/>
            <w:left w:w="108" w:type="dxa"/>
            <w:bottom w:w="0" w:type="dxa"/>
            <w:right w:w="108" w:type="dxa"/>
          </w:tblCellMar>
        </w:tblPrEx>
        <w:trPr>
          <w:cantSplit/>
          <w:trHeight w:val="10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100</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A01D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收获；割草</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101</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F24H</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一般有热发生装置的流体加热器，例如水或空气的加热器</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102</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B28B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黏土或其他陶瓷成分、熔渣或含有水泥材料的混合物，例如灰浆的成型</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103</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B67C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不包含在其他类目中的瓶子、罐、罐头、木桶、桶或类似容器的灌注液体或半液体或排空；漏斗</w:t>
            </w:r>
          </w:p>
        </w:tc>
      </w:tr>
      <w:tr>
        <w:tblPrEx>
          <w:tblLayout w:type="fixed"/>
          <w:tblCellMar>
            <w:top w:w="0" w:type="dxa"/>
            <w:left w:w="108" w:type="dxa"/>
            <w:bottom w:w="0" w:type="dxa"/>
            <w:right w:w="108" w:type="dxa"/>
          </w:tblCellMar>
        </w:tblPrEx>
        <w:trPr>
          <w:cantSplit/>
          <w:trHeight w:val="33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104</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E01F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附属工程，例如，道路设备和月台、直升机降落台、标志、防雪栅等的修建</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105</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E01C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道路、体育场或类似工程的修建或其铺面；修建和修复用的机械和附属工具</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106</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B23H</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用电极代替刀具，以电流高度集中的作用在工件上的金属加工；这种加工与其他方式的金属加工的组合</w:t>
            </w:r>
          </w:p>
        </w:tc>
      </w:tr>
      <w:tr>
        <w:tblPrEx>
          <w:tblLayout w:type="fixed"/>
          <w:tblCellMar>
            <w:top w:w="0" w:type="dxa"/>
            <w:left w:w="108" w:type="dxa"/>
            <w:bottom w:w="0" w:type="dxa"/>
            <w:right w:w="108" w:type="dxa"/>
          </w:tblCellMar>
        </w:tblPrEx>
        <w:trPr>
          <w:cantSplit/>
          <w:trHeight w:val="33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107</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F27B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一般馏炉、窑、烘烤炉或蒸馏炉；开式烧结设备或类似设备</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108</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F04C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旋转活塞或摆动活塞的液体变容式机械；旋转活塞或摆动活塞的变容式泵</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109</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B04B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离心机</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110</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F01N</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一般机器或发动机的气流消音器或排气装置；内燃机的气流消音器或排气装置</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111</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B82Y</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纳米结构的特定用途或应用；纳米结构的测量或分析；纳米结构的制造或处理</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112</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B28D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加工石头或类似石头的材料</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113</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B63B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船舶或其他水上船只；船用设备</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114</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D04H</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制造纺织品，例如用纤维或长丝原料；通过此类工艺或设备制造的织物，如毛毡、非织造布；棉絮；衬垫</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115</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B62M</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乘骑者驱动的轮式车辆或滑橇；动力驱动的滑橇或自行车；专门适用于这些交通工具的传动装置</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116</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B25F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不包括在其他类目中的组合工具或多用途工具；与执行操作无特殊关联并且不包括在其他类目中的轻便机动工具的零件或部件</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117</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F03D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风力发动机</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118</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C30B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单晶生长；共晶材料的定向凝固或共析材料的定向分层；材料的区熔精炼；具有一定结构的均匀多晶材料的制备；单晶或具有一定结构的均匀多晶材料；单晶或具有一定结构的均匀多晶材料之后处理；其所用的装置</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119</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B24D</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磨削、抛光或刃磨用的工具</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120</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F02B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活塞式内燃机；一般燃烧发动机</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121</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B81B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微观结构的装置或系统，例如微观机械装置</w:t>
            </w:r>
          </w:p>
        </w:tc>
      </w:tr>
    </w:tbl>
    <w:p>
      <w:pPr/>
    </w:p>
    <w:p>
      <w:pPr>
        <w:pStyle w:val="4"/>
        <w:numPr>
          <w:ilvl w:val="0"/>
          <w:numId w:val="1"/>
        </w:numPr>
        <w:spacing w:line="560" w:lineRule="exact"/>
        <w:jc w:val="left"/>
        <w:outlineLvl w:val="1"/>
        <w:rPr>
          <w:rFonts w:ascii="黑体" w:hAnsi="黑体" w:eastAsia="黑体" w:cs="黑体"/>
          <w:lang w:eastAsia="zh-CN"/>
        </w:rPr>
      </w:pPr>
      <w:r>
        <w:rPr>
          <w:rFonts w:hint="eastAsia" w:ascii="黑体" w:hAnsi="黑体" w:eastAsia="黑体" w:cs="黑体"/>
          <w:lang w:eastAsia="zh-CN"/>
        </w:rPr>
        <w:t>电子信息产业</w:t>
      </w:r>
    </w:p>
    <w:tbl>
      <w:tblPr>
        <w:tblStyle w:val="6"/>
        <w:tblW w:w="8508" w:type="dxa"/>
        <w:tblInd w:w="0" w:type="dxa"/>
        <w:tblLayout w:type="fixed"/>
        <w:tblCellMar>
          <w:top w:w="0" w:type="dxa"/>
          <w:left w:w="108" w:type="dxa"/>
          <w:bottom w:w="0" w:type="dxa"/>
          <w:right w:w="108" w:type="dxa"/>
        </w:tblCellMar>
      </w:tblPr>
      <w:tblGrid>
        <w:gridCol w:w="1243"/>
        <w:gridCol w:w="1560"/>
        <w:gridCol w:w="5705"/>
      </w:tblGrid>
      <w:tr>
        <w:tblPrEx>
          <w:tblLayout w:type="fixed"/>
        </w:tblPrEx>
        <w:trPr>
          <w:cantSplit/>
          <w:trHeight w:val="51" w:hRule="atLeast"/>
          <w:tblHeader/>
        </w:trPr>
        <w:tc>
          <w:tcPr>
            <w:tcW w:w="1243"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pPr>
              <w:jc w:val="center"/>
              <w:rPr>
                <w:rFonts w:ascii="仿宋" w:hAnsi="仿宋" w:eastAsia="仿宋"/>
                <w:b/>
                <w:color w:val="000000"/>
                <w:sz w:val="24"/>
                <w:szCs w:val="24"/>
              </w:rPr>
            </w:pPr>
            <w:r>
              <w:rPr>
                <w:rFonts w:hint="eastAsia" w:ascii="仿宋" w:hAnsi="仿宋" w:eastAsia="仿宋"/>
                <w:b/>
                <w:color w:val="000000"/>
                <w:sz w:val="24"/>
                <w:szCs w:val="24"/>
              </w:rPr>
              <w:t>序号</w:t>
            </w:r>
          </w:p>
        </w:tc>
        <w:tc>
          <w:tcPr>
            <w:tcW w:w="1560"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IPC主分类（小类）</w:t>
            </w:r>
          </w:p>
        </w:tc>
        <w:tc>
          <w:tcPr>
            <w:tcW w:w="5705"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分类号说明</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122</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G09F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显示；广告；标记；标签或铭牌；印鉴</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123</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H02B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供电或配电用的配电盘、变电站或开关装置</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124</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H05B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电热；其他类目不包含的电照明</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125</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G08B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信号装置或呼叫装置；指令发信装置；报警装置</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126</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H04R</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扬声器、传声器、唱机拾音器或其他声—机电传感器；助听器；扩音系统</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127</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H02M</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用于交流和交流之间、交流和直流之间、或直流和直流之间的转换以及用于与电源或类似的供电系统一起使用的设备；直流或交流输入功率至浪涌输出功率的转换；以及它们的控制或调节</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128</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G09B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教育或演示用具；用于教学或与盲人、聋人或哑人通信的用具；模型；天象仪；地球仪；地图；图表</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129</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G01L</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测量力、应力、转矩、功、机械功率、机械效率或流体压力</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130</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H01Q</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天线</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131</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G07C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时间登记器或出勤登记器；登记或指示机器的运行；产生随机数；投票或彩票设备；未列入其他类目的核算装置、系统或设备</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132</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G09G</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对用静态方法显示可变信息的指示装置进行控制的装置或电路传输数据的装置</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133</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G03B</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摄影、放映或观看用的装置或设备；利用了光波以外其他波的类似技术的装置或设备；以及有关的附件</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134</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H04M</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电话通信</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135</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G07F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投币式设备或类似设备</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136</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G06N</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基于特定计算模型的计算机系统</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137</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B41J</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打字机；选择性印刷机构，即不用印刷的印刷机构；排版错误的修正</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138</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A61N</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电疗；磁疗；放射疗；超声波疗</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139</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G08C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测量值、控制信号或类似信号的传输系统</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140</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G10L</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语音分析或合成；语音识别；语音或声音处理；语音或音频编码或解码</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141</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G01J</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红外光、可见光、紫外光的强度、速度、光谱成分，偏振、相位或脉冲特性的测量；比色法；辐射高温测定法</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142</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F24S</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太阳能热收集器；太阳能热系统</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143</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H01S</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利用受激发射的器件</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144</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G03F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图纹面的照相制版工艺，例如，印刷工艺、半导体器件的加工工艺；其所用材料；其所用原版；其所用专用设备</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145</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F21K</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不包含在其他类目中的光源</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146</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H03K</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脉冲技术</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147</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G10K</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发声器械；用于防止或减小噪声或其他声波的一般方法或装置；其他类目中不包括的声学器械</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148</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H01J</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放电管或放电灯</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149</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B60W</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不同类型或不同功能的车辆子系统的联合控制；专门适用于混合动力车辆的控制系统；不与某一特定子系统的控制相关联的道路车辆驾驶控制系统</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150</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H03H</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阻抗网络，例如谐振电路；谐振器</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151</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H03F</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放大器</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152</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B81C</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专门适用于制造或处理微观结构的装置或系统的方法或设备</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153</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H04J</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多路复用通信</w:t>
            </w:r>
          </w:p>
        </w:tc>
      </w:tr>
    </w:tbl>
    <w:p>
      <w:pPr/>
    </w:p>
    <w:p>
      <w:pPr/>
    </w:p>
    <w:p>
      <w:pPr/>
    </w:p>
    <w:p>
      <w:pPr>
        <w:pStyle w:val="10"/>
        <w:numPr>
          <w:ilvl w:val="0"/>
          <w:numId w:val="2"/>
        </w:numPr>
        <w:spacing w:line="560" w:lineRule="exact"/>
        <w:ind w:firstLineChars="0"/>
        <w:outlineLvl w:val="0"/>
        <w:rPr>
          <w:rFonts w:ascii="黑体" w:hAnsi="黑体" w:eastAsia="黑体" w:cs="黑体"/>
          <w:b/>
          <w:bCs/>
          <w:kern w:val="0"/>
          <w:sz w:val="32"/>
          <w:szCs w:val="32"/>
        </w:rPr>
      </w:pPr>
      <w:r>
        <w:rPr>
          <w:rFonts w:hint="eastAsia" w:ascii="黑体" w:hAnsi="黑体" w:eastAsia="黑体" w:cs="黑体"/>
          <w:b/>
          <w:bCs/>
          <w:kern w:val="0"/>
          <w:sz w:val="32"/>
          <w:szCs w:val="32"/>
        </w:rPr>
        <w:t>洛迦诺分类号（共34个）</w:t>
      </w:r>
    </w:p>
    <w:p>
      <w:pPr>
        <w:pStyle w:val="4"/>
        <w:numPr>
          <w:ilvl w:val="0"/>
          <w:numId w:val="1"/>
        </w:numPr>
        <w:spacing w:line="560" w:lineRule="exact"/>
        <w:jc w:val="left"/>
        <w:outlineLvl w:val="1"/>
        <w:rPr>
          <w:rFonts w:ascii="黑体" w:hAnsi="黑体" w:eastAsia="黑体" w:cs="黑体"/>
          <w:lang w:eastAsia="zh-CN"/>
        </w:rPr>
      </w:pPr>
      <w:r>
        <w:rPr>
          <w:rFonts w:hint="eastAsia" w:ascii="黑体" w:hAnsi="黑体" w:eastAsia="黑体" w:cs="黑体"/>
          <w:lang w:eastAsia="zh-CN"/>
        </w:rPr>
        <w:t>新材料</w:t>
      </w:r>
    </w:p>
    <w:tbl>
      <w:tblPr>
        <w:tblStyle w:val="6"/>
        <w:tblW w:w="8508" w:type="dxa"/>
        <w:tblInd w:w="0" w:type="dxa"/>
        <w:tblLayout w:type="fixed"/>
        <w:tblCellMar>
          <w:top w:w="0" w:type="dxa"/>
          <w:left w:w="108" w:type="dxa"/>
          <w:bottom w:w="0" w:type="dxa"/>
          <w:right w:w="108" w:type="dxa"/>
        </w:tblCellMar>
      </w:tblPr>
      <w:tblGrid>
        <w:gridCol w:w="1243"/>
        <w:gridCol w:w="1560"/>
        <w:gridCol w:w="5705"/>
      </w:tblGrid>
      <w:tr>
        <w:tblPrEx>
          <w:tblLayout w:type="fixed"/>
          <w:tblCellMar>
            <w:top w:w="0" w:type="dxa"/>
            <w:left w:w="108" w:type="dxa"/>
            <w:bottom w:w="0" w:type="dxa"/>
            <w:right w:w="108" w:type="dxa"/>
          </w:tblCellMar>
        </w:tblPrEx>
        <w:trPr>
          <w:cantSplit/>
          <w:trHeight w:val="308" w:hRule="atLeast"/>
          <w:tblHeader/>
        </w:trPr>
        <w:tc>
          <w:tcPr>
            <w:tcW w:w="1243"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1560"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洛迦诺小类</w:t>
            </w:r>
          </w:p>
        </w:tc>
        <w:tc>
          <w:tcPr>
            <w:tcW w:w="5705"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分类号说明</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02-02</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服装</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03-01</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大衣箱、手提箱、公文包、手提包、钥匙袋、内部容积专门设计的箱子、钱包及类似物品</w:t>
            </w:r>
          </w:p>
        </w:tc>
      </w:tr>
      <w:tr>
        <w:tblPrEx>
          <w:tblLayout w:type="fixed"/>
          <w:tblCellMar>
            <w:top w:w="0" w:type="dxa"/>
            <w:left w:w="108" w:type="dxa"/>
            <w:bottom w:w="0" w:type="dxa"/>
            <w:right w:w="108" w:type="dxa"/>
          </w:tblCellMar>
        </w:tblPrEx>
        <w:trPr>
          <w:cantSplit/>
          <w:trHeight w:val="10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06-03</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桌子及类似家具</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4</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07-05</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熨烫、洗涤和清洗、干燥用具</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5</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07-06</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其他桌上用品</w:t>
            </w:r>
          </w:p>
        </w:tc>
      </w:tr>
      <w:tr>
        <w:tblPrEx>
          <w:tblLayout w:type="fixed"/>
          <w:tblCellMar>
            <w:top w:w="0" w:type="dxa"/>
            <w:left w:w="108" w:type="dxa"/>
            <w:bottom w:w="0" w:type="dxa"/>
            <w:right w:w="108" w:type="dxa"/>
          </w:tblCellMar>
        </w:tblPrEx>
        <w:trPr>
          <w:cantSplit/>
          <w:trHeight w:val="10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6</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08-05</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其他工具和器具</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7</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09-03</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盒子、箱子、集装箱、防腐罐或盒</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8</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09-05</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袋、香袋、管和囊</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9</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10-05</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检测、安全和试验用仪器、设备和装置注</w:t>
            </w:r>
          </w:p>
        </w:tc>
      </w:tr>
      <w:tr>
        <w:tblPrEx>
          <w:tblLayout w:type="fixed"/>
          <w:tblCellMar>
            <w:top w:w="0" w:type="dxa"/>
            <w:left w:w="108" w:type="dxa"/>
            <w:bottom w:w="0" w:type="dxa"/>
            <w:right w:w="108" w:type="dxa"/>
          </w:tblCellMar>
        </w:tblPrEx>
        <w:trPr>
          <w:cantSplit/>
          <w:trHeight w:val="33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11-02</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小装饰品。桌子、壁炉台和墙的装饰，花瓶和花盆</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11</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12-05</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装载和运输用电梯和升降机</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14-01</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声音或图像的记录或复制设备</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14-02</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数据处理设备及相关的仪器、装置</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14-03</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通讯设备和无线遥控器、无线电放大器</w:t>
            </w:r>
          </w:p>
        </w:tc>
      </w:tr>
      <w:tr>
        <w:tblPrEx>
          <w:tblLayout w:type="fixed"/>
          <w:tblCellMar>
            <w:top w:w="0" w:type="dxa"/>
            <w:left w:w="108" w:type="dxa"/>
            <w:bottom w:w="0" w:type="dxa"/>
            <w:right w:w="108" w:type="dxa"/>
          </w:tblCellMar>
        </w:tblPrEx>
        <w:trPr>
          <w:cantSplit/>
          <w:trHeight w:val="115"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15</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15-05</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洗涤、清扫和干燥机械</w:t>
            </w:r>
          </w:p>
        </w:tc>
      </w:tr>
      <w:tr>
        <w:tblPrEx>
          <w:tblLayout w:type="fixed"/>
          <w:tblCellMar>
            <w:top w:w="0" w:type="dxa"/>
            <w:left w:w="108" w:type="dxa"/>
            <w:bottom w:w="0" w:type="dxa"/>
            <w:right w:w="108" w:type="dxa"/>
          </w:tblCellMar>
        </w:tblPrEx>
        <w:trPr>
          <w:cantSplit/>
          <w:trHeight w:val="437"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16</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15-09</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机床、研磨和铸造机械</w:t>
            </w:r>
          </w:p>
        </w:tc>
      </w:tr>
      <w:tr>
        <w:tblPrEx>
          <w:tblLayout w:type="fixed"/>
          <w:tblCellMar>
            <w:top w:w="0" w:type="dxa"/>
            <w:left w:w="108" w:type="dxa"/>
            <w:bottom w:w="0" w:type="dxa"/>
            <w:right w:w="108" w:type="dxa"/>
          </w:tblCellMar>
        </w:tblPrEx>
        <w:trPr>
          <w:cantSplit/>
          <w:trHeight w:val="22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17</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15-99</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15的杂项</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18</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16-01</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照相机和电影摄影机</w:t>
            </w:r>
          </w:p>
        </w:tc>
      </w:tr>
      <w:tr>
        <w:tblPrEx>
          <w:tblLayout w:type="fixed"/>
          <w:tblCellMar>
            <w:top w:w="0" w:type="dxa"/>
            <w:left w:w="108" w:type="dxa"/>
            <w:bottom w:w="0" w:type="dxa"/>
            <w:right w:w="108" w:type="dxa"/>
          </w:tblCellMar>
        </w:tblPrEx>
        <w:trPr>
          <w:cantSplit/>
          <w:trHeight w:val="10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19</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20-01</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自动售货机</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20</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21-01</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游戏器具和玩具</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21</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23-03</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加热设备</w:t>
            </w:r>
          </w:p>
        </w:tc>
      </w:tr>
      <w:tr>
        <w:tblPrEx>
          <w:tblLayout w:type="fixed"/>
          <w:tblCellMar>
            <w:top w:w="0" w:type="dxa"/>
            <w:left w:w="108" w:type="dxa"/>
            <w:bottom w:w="0" w:type="dxa"/>
            <w:right w:w="108" w:type="dxa"/>
          </w:tblCellMar>
        </w:tblPrEx>
        <w:trPr>
          <w:cantSplit/>
          <w:trHeight w:val="216"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22</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23-04</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通风和空调设备</w:t>
            </w:r>
          </w:p>
        </w:tc>
      </w:tr>
      <w:tr>
        <w:tblPrEx>
          <w:tblLayout w:type="fixed"/>
          <w:tblCellMar>
            <w:top w:w="0" w:type="dxa"/>
            <w:left w:w="108" w:type="dxa"/>
            <w:bottom w:w="0" w:type="dxa"/>
            <w:right w:w="108" w:type="dxa"/>
          </w:tblCellMar>
        </w:tblPrEx>
        <w:trPr>
          <w:cantSplit/>
          <w:trHeight w:val="33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23</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26-05</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灯、落地灯、枝形吊灯、墙壁和天花板装置、灯罩、反光罩、照相和电影聚光灯</w:t>
            </w:r>
          </w:p>
        </w:tc>
      </w:tr>
    </w:tbl>
    <w:p>
      <w:pPr>
        <w:spacing w:line="560" w:lineRule="exact"/>
        <w:outlineLvl w:val="0"/>
        <w:rPr>
          <w:rFonts w:ascii="黑体" w:hAnsi="黑体" w:eastAsia="黑体" w:cs="黑体"/>
          <w:b/>
          <w:bCs/>
          <w:kern w:val="0"/>
          <w:sz w:val="32"/>
          <w:szCs w:val="32"/>
        </w:rPr>
      </w:pPr>
    </w:p>
    <w:p>
      <w:pPr>
        <w:pStyle w:val="4"/>
        <w:numPr>
          <w:ilvl w:val="0"/>
          <w:numId w:val="1"/>
        </w:numPr>
        <w:spacing w:line="560" w:lineRule="exact"/>
        <w:jc w:val="left"/>
        <w:outlineLvl w:val="1"/>
        <w:rPr>
          <w:rFonts w:ascii="黑体" w:hAnsi="黑体" w:eastAsia="黑体" w:cs="黑体"/>
          <w:lang w:eastAsia="zh-CN"/>
        </w:rPr>
      </w:pPr>
      <w:r>
        <w:rPr>
          <w:rFonts w:hint="eastAsia" w:ascii="黑体" w:hAnsi="黑体" w:eastAsia="黑体" w:cs="黑体"/>
          <w:lang w:eastAsia="zh-CN"/>
        </w:rPr>
        <w:t>生物制品制造</w:t>
      </w:r>
    </w:p>
    <w:tbl>
      <w:tblPr>
        <w:tblStyle w:val="6"/>
        <w:tblW w:w="8508" w:type="dxa"/>
        <w:tblInd w:w="0" w:type="dxa"/>
        <w:tblLayout w:type="fixed"/>
        <w:tblCellMar>
          <w:top w:w="0" w:type="dxa"/>
          <w:left w:w="108" w:type="dxa"/>
          <w:bottom w:w="0" w:type="dxa"/>
          <w:right w:w="108" w:type="dxa"/>
        </w:tblCellMar>
      </w:tblPr>
      <w:tblGrid>
        <w:gridCol w:w="1243"/>
        <w:gridCol w:w="1560"/>
        <w:gridCol w:w="5705"/>
      </w:tblGrid>
      <w:tr>
        <w:tblPrEx>
          <w:tblLayout w:type="fixed"/>
          <w:tblCellMar>
            <w:top w:w="0" w:type="dxa"/>
            <w:left w:w="108" w:type="dxa"/>
            <w:bottom w:w="0" w:type="dxa"/>
            <w:right w:w="108" w:type="dxa"/>
          </w:tblCellMar>
        </w:tblPrEx>
        <w:trPr>
          <w:cantSplit/>
          <w:trHeight w:val="308" w:hRule="atLeast"/>
          <w:tblHeader/>
        </w:trPr>
        <w:tc>
          <w:tcPr>
            <w:tcW w:w="1243"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1560"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洛迦诺小类</w:t>
            </w:r>
          </w:p>
        </w:tc>
        <w:tc>
          <w:tcPr>
            <w:tcW w:w="5705"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分类号说明</w:t>
            </w:r>
          </w:p>
        </w:tc>
      </w:tr>
      <w:tr>
        <w:tblPrEx>
          <w:tblLayout w:type="fixed"/>
          <w:tblCellMar>
            <w:top w:w="0" w:type="dxa"/>
            <w:left w:w="108" w:type="dxa"/>
            <w:bottom w:w="0" w:type="dxa"/>
            <w:right w:w="108" w:type="dxa"/>
          </w:tblCellMar>
        </w:tblPrEx>
        <w:trPr>
          <w:cantSplit/>
          <w:trHeight w:val="110"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24</w:t>
            </w:r>
          </w:p>
        </w:tc>
        <w:tc>
          <w:tcPr>
            <w:tcW w:w="156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sz w:val="24"/>
                <w:szCs w:val="24"/>
              </w:rPr>
              <w:t>05-05</w:t>
            </w:r>
          </w:p>
        </w:tc>
        <w:tc>
          <w:tcPr>
            <w:tcW w:w="5705"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sz w:val="24"/>
                <w:szCs w:val="24"/>
              </w:rPr>
              <w:t>纺织纤维制品</w:t>
            </w:r>
          </w:p>
        </w:tc>
      </w:tr>
    </w:tbl>
    <w:p>
      <w:pPr>
        <w:spacing w:line="560" w:lineRule="exact"/>
        <w:outlineLvl w:val="0"/>
        <w:rPr>
          <w:rFonts w:ascii="黑体" w:hAnsi="黑体" w:eastAsia="黑体" w:cs="黑体"/>
          <w:b/>
          <w:bCs/>
          <w:kern w:val="0"/>
          <w:sz w:val="32"/>
          <w:szCs w:val="32"/>
        </w:rPr>
      </w:pPr>
    </w:p>
    <w:p>
      <w:pPr>
        <w:pStyle w:val="4"/>
        <w:numPr>
          <w:ilvl w:val="0"/>
          <w:numId w:val="1"/>
        </w:numPr>
        <w:spacing w:line="560" w:lineRule="exact"/>
        <w:jc w:val="left"/>
        <w:outlineLvl w:val="1"/>
        <w:rPr>
          <w:rFonts w:ascii="黑体" w:hAnsi="黑体" w:eastAsia="黑体" w:cs="黑体"/>
          <w:lang w:eastAsia="zh-CN"/>
        </w:rPr>
      </w:pPr>
      <w:r>
        <w:rPr>
          <w:rFonts w:hint="eastAsia" w:ascii="黑体" w:hAnsi="黑体" w:eastAsia="黑体" w:cs="黑体"/>
          <w:lang w:eastAsia="zh-CN"/>
        </w:rPr>
        <w:t>数字智能制造</w:t>
      </w:r>
    </w:p>
    <w:tbl>
      <w:tblPr>
        <w:tblStyle w:val="6"/>
        <w:tblW w:w="8508" w:type="dxa"/>
        <w:tblInd w:w="0" w:type="dxa"/>
        <w:tblLayout w:type="fixed"/>
        <w:tblCellMar>
          <w:top w:w="0" w:type="dxa"/>
          <w:left w:w="108" w:type="dxa"/>
          <w:bottom w:w="0" w:type="dxa"/>
          <w:right w:w="108" w:type="dxa"/>
        </w:tblCellMar>
      </w:tblPr>
      <w:tblGrid>
        <w:gridCol w:w="1243"/>
        <w:gridCol w:w="1560"/>
        <w:gridCol w:w="5705"/>
      </w:tblGrid>
      <w:tr>
        <w:tblPrEx>
          <w:tblLayout w:type="fixed"/>
          <w:tblCellMar>
            <w:top w:w="0" w:type="dxa"/>
            <w:left w:w="108" w:type="dxa"/>
            <w:bottom w:w="0" w:type="dxa"/>
            <w:right w:w="108" w:type="dxa"/>
          </w:tblCellMar>
        </w:tblPrEx>
        <w:trPr>
          <w:cantSplit/>
          <w:trHeight w:val="51" w:hRule="atLeast"/>
          <w:tblHeader/>
        </w:trPr>
        <w:tc>
          <w:tcPr>
            <w:tcW w:w="1243"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pPr>
              <w:jc w:val="center"/>
              <w:rPr>
                <w:rFonts w:ascii="仿宋" w:hAnsi="仿宋" w:eastAsia="仿宋"/>
                <w:b/>
                <w:color w:val="000000"/>
                <w:sz w:val="24"/>
                <w:szCs w:val="24"/>
              </w:rPr>
            </w:pPr>
            <w:r>
              <w:rPr>
                <w:rFonts w:hint="eastAsia" w:ascii="仿宋" w:hAnsi="仿宋" w:eastAsia="仿宋"/>
                <w:b/>
                <w:color w:val="000000"/>
                <w:sz w:val="24"/>
                <w:szCs w:val="24"/>
              </w:rPr>
              <w:t>序号</w:t>
            </w:r>
          </w:p>
        </w:tc>
        <w:tc>
          <w:tcPr>
            <w:tcW w:w="1560"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洛迦诺小类</w:t>
            </w:r>
          </w:p>
        </w:tc>
        <w:tc>
          <w:tcPr>
            <w:tcW w:w="5705"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分类号说明</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25</w:t>
            </w:r>
          </w:p>
        </w:tc>
        <w:tc>
          <w:tcPr>
            <w:tcW w:w="1560" w:type="dxa"/>
            <w:tcBorders>
              <w:top w:val="nil"/>
              <w:left w:val="single" w:color="auto" w:sz="4" w:space="0"/>
              <w:bottom w:val="single" w:color="auto" w:sz="4" w:space="0"/>
              <w:right w:val="single" w:color="auto" w:sz="4" w:space="0"/>
            </w:tcBorders>
            <w:shd w:val="clear" w:color="auto" w:fill="auto"/>
            <w:vAlign w:val="bottom"/>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06-01</w:t>
            </w:r>
          </w:p>
        </w:tc>
        <w:tc>
          <w:tcPr>
            <w:tcW w:w="5705" w:type="dxa"/>
            <w:tcBorders>
              <w:top w:val="nil"/>
              <w:left w:val="nil"/>
              <w:bottom w:val="single" w:color="auto" w:sz="4" w:space="0"/>
              <w:right w:val="single" w:color="auto" w:sz="4" w:space="0"/>
            </w:tcBorders>
            <w:shd w:val="clear" w:color="auto" w:fill="auto"/>
            <w:vAlign w:val="bottom"/>
          </w:tcPr>
          <w:p>
            <w:pPr>
              <w:widowControl/>
              <w:spacing w:line="360" w:lineRule="auto"/>
              <w:jc w:val="left"/>
              <w:textAlignment w:val="bottom"/>
              <w:rPr>
                <w:rFonts w:ascii="仿宋" w:hAnsi="仿宋" w:eastAsia="仿宋" w:cs="等线"/>
                <w:kern w:val="0"/>
                <w:sz w:val="24"/>
                <w:szCs w:val="24"/>
              </w:rPr>
            </w:pPr>
            <w:r>
              <w:rPr>
                <w:rFonts w:hint="eastAsia" w:ascii="仿宋" w:hAnsi="仿宋" w:eastAsia="仿宋" w:cs="等线"/>
                <w:kern w:val="0"/>
                <w:sz w:val="24"/>
                <w:szCs w:val="24"/>
              </w:rPr>
              <w:t>座椅</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26</w:t>
            </w:r>
          </w:p>
        </w:tc>
        <w:tc>
          <w:tcPr>
            <w:tcW w:w="1560" w:type="dxa"/>
            <w:tcBorders>
              <w:top w:val="nil"/>
              <w:left w:val="single" w:color="auto" w:sz="4" w:space="0"/>
              <w:bottom w:val="single" w:color="auto" w:sz="4" w:space="0"/>
              <w:right w:val="single" w:color="auto" w:sz="4" w:space="0"/>
            </w:tcBorders>
            <w:shd w:val="clear" w:color="auto" w:fill="auto"/>
            <w:vAlign w:val="bottom"/>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08-03</w:t>
            </w:r>
          </w:p>
        </w:tc>
        <w:tc>
          <w:tcPr>
            <w:tcW w:w="5705" w:type="dxa"/>
            <w:tcBorders>
              <w:top w:val="nil"/>
              <w:left w:val="nil"/>
              <w:bottom w:val="single" w:color="auto" w:sz="4" w:space="0"/>
              <w:right w:val="single" w:color="auto" w:sz="4" w:space="0"/>
            </w:tcBorders>
            <w:shd w:val="clear" w:color="auto" w:fill="auto"/>
            <w:vAlign w:val="bottom"/>
          </w:tcPr>
          <w:p>
            <w:pPr>
              <w:widowControl/>
              <w:spacing w:line="360" w:lineRule="auto"/>
              <w:jc w:val="left"/>
              <w:textAlignment w:val="bottom"/>
              <w:rPr>
                <w:rFonts w:ascii="仿宋" w:hAnsi="仿宋" w:eastAsia="仿宋" w:cs="等线"/>
                <w:kern w:val="0"/>
                <w:sz w:val="24"/>
                <w:szCs w:val="24"/>
              </w:rPr>
            </w:pPr>
            <w:r>
              <w:rPr>
                <w:rFonts w:hint="eastAsia" w:ascii="仿宋" w:hAnsi="仿宋" w:eastAsia="仿宋" w:cs="等线"/>
                <w:kern w:val="0"/>
                <w:sz w:val="24"/>
                <w:szCs w:val="24"/>
              </w:rPr>
              <w:t>切削工具和器具</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27</w:t>
            </w:r>
          </w:p>
        </w:tc>
        <w:tc>
          <w:tcPr>
            <w:tcW w:w="1560" w:type="dxa"/>
            <w:tcBorders>
              <w:top w:val="nil"/>
              <w:left w:val="single" w:color="auto" w:sz="4" w:space="0"/>
              <w:bottom w:val="single" w:color="auto" w:sz="4" w:space="0"/>
              <w:right w:val="single" w:color="auto" w:sz="4" w:space="0"/>
            </w:tcBorders>
            <w:shd w:val="clear" w:color="auto" w:fill="auto"/>
            <w:vAlign w:val="bottom"/>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08-07</w:t>
            </w:r>
          </w:p>
        </w:tc>
        <w:tc>
          <w:tcPr>
            <w:tcW w:w="5705" w:type="dxa"/>
            <w:tcBorders>
              <w:top w:val="nil"/>
              <w:left w:val="nil"/>
              <w:bottom w:val="single" w:color="auto" w:sz="4" w:space="0"/>
              <w:right w:val="single" w:color="auto" w:sz="4" w:space="0"/>
            </w:tcBorders>
            <w:shd w:val="clear" w:color="auto" w:fill="auto"/>
            <w:vAlign w:val="bottom"/>
          </w:tcPr>
          <w:p>
            <w:pPr>
              <w:widowControl/>
              <w:spacing w:line="360" w:lineRule="auto"/>
              <w:jc w:val="left"/>
              <w:textAlignment w:val="bottom"/>
              <w:rPr>
                <w:rFonts w:ascii="仿宋" w:hAnsi="仿宋" w:eastAsia="仿宋" w:cs="等线"/>
                <w:kern w:val="0"/>
                <w:sz w:val="24"/>
                <w:szCs w:val="24"/>
              </w:rPr>
            </w:pPr>
            <w:r>
              <w:rPr>
                <w:rFonts w:hint="eastAsia" w:ascii="仿宋" w:hAnsi="仿宋" w:eastAsia="仿宋" w:cs="等线"/>
                <w:kern w:val="0"/>
                <w:sz w:val="24"/>
                <w:szCs w:val="24"/>
              </w:rPr>
              <w:t>锁紧或关闭装置</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28</w:t>
            </w:r>
          </w:p>
        </w:tc>
        <w:tc>
          <w:tcPr>
            <w:tcW w:w="1560" w:type="dxa"/>
            <w:tcBorders>
              <w:top w:val="nil"/>
              <w:left w:val="single" w:color="auto" w:sz="4" w:space="0"/>
              <w:bottom w:val="single" w:color="auto" w:sz="4" w:space="0"/>
              <w:right w:val="single" w:color="auto" w:sz="4" w:space="0"/>
            </w:tcBorders>
            <w:shd w:val="clear" w:color="auto" w:fill="auto"/>
            <w:vAlign w:val="bottom"/>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12-11</w:t>
            </w:r>
          </w:p>
        </w:tc>
        <w:tc>
          <w:tcPr>
            <w:tcW w:w="5705" w:type="dxa"/>
            <w:tcBorders>
              <w:top w:val="nil"/>
              <w:left w:val="nil"/>
              <w:bottom w:val="single" w:color="auto" w:sz="4" w:space="0"/>
              <w:right w:val="single" w:color="auto" w:sz="4" w:space="0"/>
            </w:tcBorders>
            <w:shd w:val="clear" w:color="auto" w:fill="auto"/>
            <w:vAlign w:val="bottom"/>
          </w:tcPr>
          <w:p>
            <w:pPr>
              <w:widowControl/>
              <w:spacing w:line="360" w:lineRule="auto"/>
              <w:jc w:val="left"/>
              <w:textAlignment w:val="bottom"/>
              <w:rPr>
                <w:rFonts w:ascii="仿宋" w:hAnsi="仿宋" w:eastAsia="仿宋" w:cs="等线"/>
                <w:kern w:val="0"/>
                <w:sz w:val="24"/>
                <w:szCs w:val="24"/>
              </w:rPr>
            </w:pPr>
            <w:r>
              <w:rPr>
                <w:rFonts w:hint="eastAsia" w:ascii="仿宋" w:hAnsi="仿宋" w:eastAsia="仿宋" w:cs="等线"/>
                <w:kern w:val="0"/>
                <w:sz w:val="24"/>
                <w:szCs w:val="24"/>
              </w:rPr>
              <w:t>自行车和摩托车</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29</w:t>
            </w:r>
          </w:p>
        </w:tc>
        <w:tc>
          <w:tcPr>
            <w:tcW w:w="1560" w:type="dxa"/>
            <w:tcBorders>
              <w:top w:val="nil"/>
              <w:left w:val="single" w:color="auto" w:sz="4" w:space="0"/>
              <w:bottom w:val="single" w:color="auto" w:sz="4" w:space="0"/>
              <w:right w:val="single" w:color="auto" w:sz="4" w:space="0"/>
            </w:tcBorders>
            <w:shd w:val="clear" w:color="auto" w:fill="auto"/>
            <w:vAlign w:val="bottom"/>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12-12</w:t>
            </w:r>
          </w:p>
        </w:tc>
        <w:tc>
          <w:tcPr>
            <w:tcW w:w="5705" w:type="dxa"/>
            <w:tcBorders>
              <w:top w:val="nil"/>
              <w:left w:val="nil"/>
              <w:bottom w:val="single" w:color="auto" w:sz="4" w:space="0"/>
              <w:right w:val="single" w:color="auto" w:sz="4" w:space="0"/>
            </w:tcBorders>
            <w:shd w:val="clear" w:color="auto" w:fill="auto"/>
            <w:vAlign w:val="bottom"/>
          </w:tcPr>
          <w:p>
            <w:pPr>
              <w:widowControl/>
              <w:spacing w:line="360" w:lineRule="auto"/>
              <w:jc w:val="left"/>
              <w:textAlignment w:val="bottom"/>
              <w:rPr>
                <w:rFonts w:ascii="仿宋" w:hAnsi="仿宋" w:eastAsia="仿宋" w:cs="等线"/>
                <w:kern w:val="0"/>
                <w:sz w:val="24"/>
                <w:szCs w:val="24"/>
              </w:rPr>
            </w:pPr>
            <w:r>
              <w:rPr>
                <w:rFonts w:hint="eastAsia" w:ascii="仿宋" w:hAnsi="仿宋" w:eastAsia="仿宋" w:cs="等线"/>
                <w:kern w:val="0"/>
                <w:sz w:val="24"/>
                <w:szCs w:val="24"/>
              </w:rPr>
              <w:t>婴儿车、病人用轮椅、担架</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30</w:t>
            </w:r>
          </w:p>
        </w:tc>
        <w:tc>
          <w:tcPr>
            <w:tcW w:w="1560" w:type="dxa"/>
            <w:tcBorders>
              <w:top w:val="nil"/>
              <w:left w:val="single" w:color="auto" w:sz="4" w:space="0"/>
              <w:bottom w:val="single" w:color="auto" w:sz="4" w:space="0"/>
              <w:right w:val="single" w:color="auto" w:sz="4" w:space="0"/>
            </w:tcBorders>
            <w:shd w:val="clear" w:color="auto" w:fill="auto"/>
            <w:vAlign w:val="bottom"/>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24-01</w:t>
            </w:r>
          </w:p>
        </w:tc>
        <w:tc>
          <w:tcPr>
            <w:tcW w:w="5705" w:type="dxa"/>
            <w:tcBorders>
              <w:top w:val="nil"/>
              <w:left w:val="nil"/>
              <w:bottom w:val="single" w:color="auto" w:sz="4" w:space="0"/>
              <w:right w:val="single" w:color="auto" w:sz="4" w:space="0"/>
            </w:tcBorders>
            <w:shd w:val="clear" w:color="auto" w:fill="auto"/>
            <w:vAlign w:val="bottom"/>
          </w:tcPr>
          <w:p>
            <w:pPr>
              <w:widowControl/>
              <w:spacing w:line="360" w:lineRule="auto"/>
              <w:jc w:val="left"/>
              <w:textAlignment w:val="bottom"/>
              <w:rPr>
                <w:rFonts w:ascii="仿宋" w:hAnsi="仿宋" w:eastAsia="仿宋" w:cs="等线"/>
                <w:kern w:val="0"/>
                <w:sz w:val="24"/>
                <w:szCs w:val="24"/>
              </w:rPr>
            </w:pPr>
            <w:r>
              <w:rPr>
                <w:rFonts w:hint="eastAsia" w:ascii="仿宋" w:hAnsi="仿宋" w:eastAsia="仿宋" w:cs="等线"/>
                <w:kern w:val="0"/>
                <w:sz w:val="24"/>
                <w:szCs w:val="24"/>
              </w:rPr>
              <w:t>医生、医院和实验室用的仪器和设备</w:t>
            </w:r>
          </w:p>
        </w:tc>
      </w:tr>
    </w:tbl>
    <w:p>
      <w:pPr>
        <w:rPr>
          <w:b/>
        </w:rPr>
      </w:pPr>
    </w:p>
    <w:p>
      <w:pPr>
        <w:pStyle w:val="4"/>
        <w:numPr>
          <w:ilvl w:val="0"/>
          <w:numId w:val="1"/>
        </w:numPr>
        <w:spacing w:line="560" w:lineRule="exact"/>
        <w:jc w:val="left"/>
        <w:outlineLvl w:val="1"/>
        <w:rPr>
          <w:rFonts w:ascii="黑体" w:hAnsi="黑体" w:eastAsia="黑体" w:cs="黑体"/>
          <w:lang w:eastAsia="zh-CN"/>
        </w:rPr>
      </w:pPr>
      <w:r>
        <w:rPr>
          <w:rFonts w:hint="eastAsia" w:ascii="黑体" w:hAnsi="黑体" w:eastAsia="黑体" w:cs="黑体"/>
          <w:lang w:eastAsia="zh-CN"/>
        </w:rPr>
        <w:t>电子信息产业</w:t>
      </w:r>
    </w:p>
    <w:tbl>
      <w:tblPr>
        <w:tblStyle w:val="6"/>
        <w:tblW w:w="8508" w:type="dxa"/>
        <w:tblInd w:w="0" w:type="dxa"/>
        <w:tblLayout w:type="fixed"/>
        <w:tblCellMar>
          <w:top w:w="0" w:type="dxa"/>
          <w:left w:w="108" w:type="dxa"/>
          <w:bottom w:w="0" w:type="dxa"/>
          <w:right w:w="108" w:type="dxa"/>
        </w:tblCellMar>
      </w:tblPr>
      <w:tblGrid>
        <w:gridCol w:w="1243"/>
        <w:gridCol w:w="1560"/>
        <w:gridCol w:w="5705"/>
      </w:tblGrid>
      <w:tr>
        <w:tblPrEx>
          <w:tblLayout w:type="fixed"/>
          <w:tblCellMar>
            <w:top w:w="0" w:type="dxa"/>
            <w:left w:w="108" w:type="dxa"/>
            <w:bottom w:w="0" w:type="dxa"/>
            <w:right w:w="108" w:type="dxa"/>
          </w:tblCellMar>
        </w:tblPrEx>
        <w:trPr>
          <w:cantSplit/>
          <w:trHeight w:val="51" w:hRule="atLeast"/>
          <w:tblHeader/>
        </w:trPr>
        <w:tc>
          <w:tcPr>
            <w:tcW w:w="1243"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pPr>
              <w:jc w:val="center"/>
              <w:rPr>
                <w:rFonts w:ascii="仿宋" w:hAnsi="仿宋" w:eastAsia="仿宋"/>
                <w:b/>
                <w:color w:val="000000"/>
                <w:sz w:val="24"/>
                <w:szCs w:val="24"/>
              </w:rPr>
            </w:pPr>
            <w:r>
              <w:rPr>
                <w:rFonts w:hint="eastAsia" w:ascii="仿宋" w:hAnsi="仿宋" w:eastAsia="仿宋"/>
                <w:b/>
                <w:color w:val="000000"/>
                <w:sz w:val="24"/>
                <w:szCs w:val="24"/>
              </w:rPr>
              <w:t>序号</w:t>
            </w:r>
          </w:p>
        </w:tc>
        <w:tc>
          <w:tcPr>
            <w:tcW w:w="1560" w:type="dxa"/>
            <w:tcBorders>
              <w:top w:val="single" w:color="auto" w:sz="4" w:space="0"/>
              <w:left w:val="single" w:color="auto" w:sz="4" w:space="0"/>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洛迦诺小类</w:t>
            </w:r>
          </w:p>
        </w:tc>
        <w:tc>
          <w:tcPr>
            <w:tcW w:w="5705" w:type="dxa"/>
            <w:tcBorders>
              <w:top w:val="single" w:color="auto" w:sz="4"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分类号说明</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31</w:t>
            </w:r>
          </w:p>
        </w:tc>
        <w:tc>
          <w:tcPr>
            <w:tcW w:w="156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10-07</w:t>
            </w:r>
          </w:p>
        </w:tc>
        <w:tc>
          <w:tcPr>
            <w:tcW w:w="5705" w:type="dxa"/>
            <w:tcBorders>
              <w:top w:val="nil"/>
              <w:left w:val="nil"/>
              <w:bottom w:val="single" w:color="auto" w:sz="4" w:space="0"/>
              <w:right w:val="single" w:color="auto" w:sz="4" w:space="0"/>
            </w:tcBorders>
            <w:shd w:val="clear" w:color="auto" w:fill="auto"/>
            <w:vAlign w:val="bottom"/>
          </w:tcPr>
          <w:p>
            <w:pPr>
              <w:widowControl/>
              <w:spacing w:line="360" w:lineRule="auto"/>
              <w:jc w:val="left"/>
              <w:textAlignment w:val="bottom"/>
              <w:rPr>
                <w:rFonts w:ascii="仿宋" w:hAnsi="仿宋" w:eastAsia="仿宋" w:cs="等线"/>
                <w:kern w:val="0"/>
                <w:sz w:val="24"/>
                <w:szCs w:val="24"/>
              </w:rPr>
            </w:pPr>
            <w:r>
              <w:rPr>
                <w:rFonts w:hint="eastAsia" w:ascii="仿宋" w:hAnsi="仿宋" w:eastAsia="仿宋" w:cs="等线"/>
                <w:kern w:val="0"/>
                <w:sz w:val="24"/>
                <w:szCs w:val="24"/>
              </w:rPr>
              <w:t>测量仪器、检测仪器和信号仪器的外壳、盘面、指针和所有其他零部件及附件</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32</w:t>
            </w:r>
          </w:p>
        </w:tc>
        <w:tc>
          <w:tcPr>
            <w:tcW w:w="1560" w:type="dxa"/>
            <w:tcBorders>
              <w:top w:val="nil"/>
              <w:left w:val="single" w:color="auto" w:sz="4" w:space="0"/>
              <w:bottom w:val="single" w:color="auto" w:sz="4" w:space="0"/>
              <w:right w:val="single" w:color="auto" w:sz="4" w:space="0"/>
            </w:tcBorders>
            <w:shd w:val="clear" w:color="auto" w:fill="auto"/>
            <w:vAlign w:val="bottom"/>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13-02</w:t>
            </w:r>
          </w:p>
        </w:tc>
        <w:tc>
          <w:tcPr>
            <w:tcW w:w="5705" w:type="dxa"/>
            <w:tcBorders>
              <w:top w:val="nil"/>
              <w:left w:val="nil"/>
              <w:bottom w:val="single" w:color="auto" w:sz="4" w:space="0"/>
              <w:right w:val="single" w:color="auto" w:sz="4" w:space="0"/>
            </w:tcBorders>
            <w:shd w:val="clear" w:color="auto" w:fill="auto"/>
            <w:vAlign w:val="bottom"/>
          </w:tcPr>
          <w:p>
            <w:pPr>
              <w:widowControl/>
              <w:spacing w:line="360" w:lineRule="auto"/>
              <w:jc w:val="left"/>
              <w:textAlignment w:val="bottom"/>
              <w:rPr>
                <w:rFonts w:ascii="仿宋" w:hAnsi="仿宋" w:eastAsia="仿宋" w:cs="等线"/>
                <w:kern w:val="0"/>
                <w:sz w:val="24"/>
                <w:szCs w:val="24"/>
              </w:rPr>
            </w:pPr>
            <w:r>
              <w:rPr>
                <w:rFonts w:hint="eastAsia" w:ascii="仿宋" w:hAnsi="仿宋" w:eastAsia="仿宋" w:cs="等线"/>
                <w:kern w:val="0"/>
                <w:sz w:val="24"/>
                <w:szCs w:val="24"/>
              </w:rPr>
              <w:t>电力变压器、整流器、电池和蓄电池</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33</w:t>
            </w:r>
          </w:p>
        </w:tc>
        <w:tc>
          <w:tcPr>
            <w:tcW w:w="1560" w:type="dxa"/>
            <w:tcBorders>
              <w:top w:val="nil"/>
              <w:left w:val="single" w:color="auto" w:sz="4" w:space="0"/>
              <w:bottom w:val="single" w:color="auto" w:sz="4" w:space="0"/>
              <w:right w:val="single" w:color="auto" w:sz="4" w:space="0"/>
            </w:tcBorders>
            <w:shd w:val="clear" w:color="auto" w:fill="auto"/>
            <w:vAlign w:val="bottom"/>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13-03</w:t>
            </w:r>
          </w:p>
        </w:tc>
        <w:tc>
          <w:tcPr>
            <w:tcW w:w="5705" w:type="dxa"/>
            <w:tcBorders>
              <w:top w:val="nil"/>
              <w:left w:val="nil"/>
              <w:bottom w:val="single" w:color="auto" w:sz="4" w:space="0"/>
              <w:right w:val="single" w:color="auto" w:sz="4" w:space="0"/>
            </w:tcBorders>
            <w:shd w:val="clear" w:color="auto" w:fill="auto"/>
            <w:vAlign w:val="bottom"/>
          </w:tcPr>
          <w:p>
            <w:pPr>
              <w:widowControl/>
              <w:spacing w:line="360" w:lineRule="auto"/>
              <w:jc w:val="left"/>
              <w:textAlignment w:val="bottom"/>
              <w:rPr>
                <w:rFonts w:ascii="仿宋" w:hAnsi="仿宋" w:eastAsia="仿宋" w:cs="等线"/>
                <w:kern w:val="0"/>
                <w:sz w:val="24"/>
                <w:szCs w:val="24"/>
              </w:rPr>
            </w:pPr>
            <w:r>
              <w:rPr>
                <w:rFonts w:hint="eastAsia" w:ascii="仿宋" w:hAnsi="仿宋" w:eastAsia="仿宋" w:cs="等线"/>
                <w:kern w:val="0"/>
                <w:sz w:val="24"/>
                <w:szCs w:val="24"/>
              </w:rPr>
              <w:t>配电或电力控制设备</w:t>
            </w:r>
          </w:p>
        </w:tc>
      </w:tr>
      <w:tr>
        <w:tblPrEx>
          <w:tblLayout w:type="fixed"/>
          <w:tblCellMar>
            <w:top w:w="0" w:type="dxa"/>
            <w:left w:w="108" w:type="dxa"/>
            <w:bottom w:w="0" w:type="dxa"/>
            <w:right w:w="108" w:type="dxa"/>
          </w:tblCellMar>
        </w:tblPrEx>
        <w:trPr>
          <w:cantSplit/>
          <w:trHeight w:val="51"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34</w:t>
            </w:r>
          </w:p>
        </w:tc>
        <w:tc>
          <w:tcPr>
            <w:tcW w:w="1560" w:type="dxa"/>
            <w:tcBorders>
              <w:top w:val="nil"/>
              <w:left w:val="single" w:color="auto" w:sz="4" w:space="0"/>
              <w:bottom w:val="single" w:color="auto" w:sz="4" w:space="0"/>
              <w:right w:val="single" w:color="auto" w:sz="4" w:space="0"/>
            </w:tcBorders>
            <w:shd w:val="clear" w:color="auto" w:fill="auto"/>
            <w:vAlign w:val="bottom"/>
          </w:tcPr>
          <w:p>
            <w:pPr>
              <w:widowControl/>
              <w:spacing w:line="360" w:lineRule="auto"/>
              <w:jc w:val="center"/>
              <w:textAlignment w:val="bottom"/>
              <w:rPr>
                <w:rFonts w:ascii="仿宋" w:hAnsi="仿宋" w:eastAsia="仿宋" w:cs="等线"/>
                <w:kern w:val="0"/>
                <w:sz w:val="24"/>
                <w:szCs w:val="24"/>
              </w:rPr>
            </w:pPr>
            <w:r>
              <w:rPr>
                <w:rFonts w:hint="eastAsia" w:ascii="仿宋" w:hAnsi="仿宋" w:eastAsia="仿宋" w:cs="等线"/>
                <w:kern w:val="0"/>
                <w:sz w:val="24"/>
                <w:szCs w:val="24"/>
              </w:rPr>
              <w:t>14-04</w:t>
            </w:r>
          </w:p>
        </w:tc>
        <w:tc>
          <w:tcPr>
            <w:tcW w:w="5705" w:type="dxa"/>
            <w:tcBorders>
              <w:top w:val="nil"/>
              <w:left w:val="nil"/>
              <w:bottom w:val="single" w:color="auto" w:sz="4" w:space="0"/>
              <w:right w:val="single" w:color="auto" w:sz="4" w:space="0"/>
            </w:tcBorders>
            <w:shd w:val="clear" w:color="auto" w:fill="auto"/>
            <w:vAlign w:val="bottom"/>
          </w:tcPr>
          <w:p>
            <w:pPr>
              <w:widowControl/>
              <w:spacing w:line="360" w:lineRule="auto"/>
              <w:jc w:val="left"/>
              <w:textAlignment w:val="bottom"/>
              <w:rPr>
                <w:rFonts w:ascii="仿宋" w:hAnsi="仿宋" w:eastAsia="仿宋" w:cs="等线"/>
                <w:kern w:val="0"/>
                <w:sz w:val="24"/>
                <w:szCs w:val="24"/>
              </w:rPr>
            </w:pPr>
            <w:r>
              <w:rPr>
                <w:rFonts w:hint="eastAsia" w:ascii="仿宋" w:hAnsi="仿宋" w:eastAsia="仿宋" w:cs="等线"/>
                <w:kern w:val="0"/>
                <w:sz w:val="24"/>
                <w:szCs w:val="24"/>
              </w:rPr>
              <w:t>显示界面和图标</w:t>
            </w:r>
          </w:p>
        </w:tc>
      </w:tr>
    </w:tbl>
    <w:p>
      <w:pPr>
        <w:rPr>
          <w:b/>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75711927">
    <w:nsid w:val="401E0FB7"/>
    <w:multiLevelType w:val="multilevel"/>
    <w:tmpl w:val="401E0FB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641107461">
    <w:nsid w:val="D906E405"/>
    <w:multiLevelType w:val="singleLevel"/>
    <w:tmpl w:val="D906E405"/>
    <w:lvl w:ilvl="0" w:tentative="1">
      <w:start w:val="1"/>
      <w:numFmt w:val="bullet"/>
      <w:lvlText w:val=""/>
      <w:lvlJc w:val="left"/>
      <w:pPr>
        <w:ind w:left="420" w:hanging="420"/>
      </w:pPr>
      <w:rPr>
        <w:rFonts w:hint="default" w:ascii="Wingdings" w:hAnsi="Wingdings"/>
      </w:rPr>
    </w:lvl>
  </w:abstractNum>
  <w:num w:numId="1">
    <w:abstractNumId w:val="3641107461"/>
  </w:num>
  <w:num w:numId="2">
    <w:abstractNumId w:val="10757119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98"/>
    <w:rsid w:val="001D2E4B"/>
    <w:rsid w:val="002171F0"/>
    <w:rsid w:val="002A47B4"/>
    <w:rsid w:val="00302A5D"/>
    <w:rsid w:val="003077B2"/>
    <w:rsid w:val="004236BB"/>
    <w:rsid w:val="00441974"/>
    <w:rsid w:val="004616E3"/>
    <w:rsid w:val="00636586"/>
    <w:rsid w:val="00640D37"/>
    <w:rsid w:val="007330B5"/>
    <w:rsid w:val="00771C1C"/>
    <w:rsid w:val="00780443"/>
    <w:rsid w:val="007F1130"/>
    <w:rsid w:val="008D0298"/>
    <w:rsid w:val="00992579"/>
    <w:rsid w:val="009C425D"/>
    <w:rsid w:val="00B76F57"/>
    <w:rsid w:val="00C15190"/>
    <w:rsid w:val="00D60D47"/>
    <w:rsid w:val="00F85E0F"/>
    <w:rsid w:val="00FC52AF"/>
    <w:rsid w:val="0A8A679C"/>
    <w:rsid w:val="4C50557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widowControl/>
      <w:spacing w:before="240" w:after="60"/>
      <w:jc w:val="center"/>
      <w:outlineLvl w:val="0"/>
    </w:pPr>
    <w:rPr>
      <w:rFonts w:ascii="Calibri Light" w:hAnsi="Calibri Light" w:eastAsia="宋体" w:cs="Times New Roman"/>
      <w:b/>
      <w:bCs/>
      <w:kern w:val="0"/>
      <w:sz w:val="32"/>
      <w:szCs w:val="32"/>
      <w:lang w:eastAsia="en-US"/>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character" w:customStyle="1" w:styleId="9">
    <w:name w:val="标题 Char"/>
    <w:basedOn w:val="5"/>
    <w:link w:val="4"/>
    <w:uiPriority w:val="0"/>
    <w:rPr>
      <w:rFonts w:ascii="Calibri Light" w:hAnsi="Calibri Light" w:eastAsia="宋体" w:cs="Times New Roman"/>
      <w:b/>
      <w:bCs/>
      <w:kern w:val="0"/>
      <w:sz w:val="32"/>
      <w:szCs w:val="32"/>
      <w:lang w:eastAsia="en-US"/>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00C71-3F2D-40D9-9CE8-18D38163E80C}">
  <ds:schemaRefs/>
</ds:datastoreItem>
</file>

<file path=docProps/app.xml><?xml version="1.0" encoding="utf-8"?>
<Properties xmlns="http://schemas.openxmlformats.org/officeDocument/2006/extended-properties" xmlns:vt="http://schemas.openxmlformats.org/officeDocument/2006/docPropsVTypes">
  <Template>Normal</Template>
  <Pages>14</Pages>
  <Words>8582</Words>
  <Characters>10465</Characters>
  <Lines>80</Lines>
  <Paragraphs>22</Paragraphs>
  <TotalTime>0</TotalTime>
  <ScaleCrop>false</ScaleCrop>
  <LinksUpToDate>false</LinksUpToDate>
  <CharactersWithSpaces>11293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2022-03-01T06:29:00Z</dcterms:created>
  <dc:creator>180612</dc:creator>
  <cp:lastModifiedBy>happyeveryday</cp:lastModifiedBy>
  <cp:lastPrinted>2022-02-21T09:22:00Z</cp:lastPrinted>
  <dcterms:modified xsi:type="dcterms:W3CDTF">2022-03-22T02:15:29Z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